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Kolkata Transportation Disruption Intelligence &amp; Routing Protocol</w:t>
      </w:r>
    </w:p>
    <w:p>
      <w:r>
        <w:t>Report Generated: 2026-08-31 20:24:42</w:t>
      </w:r>
    </w:p>
    <w:p>
      <w:r>
        <w:t>Monitored Geographic Hub: Kolkata Logistics Cluster</w:t>
      </w:r>
    </w:p>
    <w:p>
      <w:r>
        <w:t>Total Disruption Events Analyzed: 3</w:t>
      </w:r>
    </w:p>
    <w:p>
      <w:pPr>
        <w:pStyle w:val="Heading1"/>
      </w:pPr>
      <w:r>
        <w:t>1. Executive Regional Disruption Assessment</w:t>
      </w:r>
    </w:p>
    <w:p>
      <w:r>
        <w:t>This intelligence brief evaluates active and historical transportation strikes, roadway blockades, and labor disruptions impacting freight transit in the Kolkata commercial logistics corridor. Of the 3 analyzed disruption records, 0 are classified as HIGH severity (e.g., indefinite strikes, complete bandhs) and 0 as MEDIUM severity. Dominant disruption modalities: Taxi (2), Bus (1).</w:t>
      </w:r>
    </w:p>
    <w:p>
      <w:pPr>
        <w:pStyle w:val="Heading2"/>
      </w:pPr>
      <w:r>
        <w:t>1.1 AI Strategic Risk Assessment (Qwen2.5 Synthesized)</w:t>
      </w:r>
    </w:p>
    <w:p>
      <w:r>
        <w:t>In the context of recent transportation strikes and operational disruptions in Kolkata, India, freight logistics routing faces significant strategic risks that could impact supply chain efficiency and reliability. The strikes, such as those involving cab drivers, highlight the vulnerability of logistics operations to labor unrest, which can lead to unpredictable service disruptions and increased costs. The poll duty, which has also caused buses to be off the roads, further exacerbates the situation by limiting alternative transportation modes, thereby creating a critical bottleneck in the city's transportation network. These events pose a medium to high risk level for logistics companies operating in or through Kolkata, as they can lead to delays, increased transportation costs, and potential service failures.</w:t>
        <w:br/>
        <w:br/>
        <w:t>To mitigate these risks, dispatch planners should implement a multi-faceted strategy. Firstly, diversifying transportation modes and routes is crucial. By establishing partnerships with multiple carriers and utilizing a mix of road, rail, and air transport, logistics companies can reduce dependency on any single mode of transportation and minimize the impact of strikes or operational disruptions. Secondly, maintaining a robust contingency plan is essential. This should include pre-identified alternative routes, backup suppliers, and real-time monitoring of traffic and road conditions. Additionally, engaging with local authorities and community leaders to stay informed about potential strikes and other disruptions can provide early warning signals, allowing for proactive adjustments to routing and scheduling. Lastly, investing in technology solutions, such as advanced route optimization software, can help in dynamically adjusting routes based on real-time data, ensuring more efficient and resilient logistics operations in the face of unpredictable events.</w:t>
      </w:r>
    </w:p>
    <w:p>
      <w:pPr>
        <w:pStyle w:val="Heading1"/>
      </w:pPr>
      <w:r>
        <w:t>2. Critical Corridors &amp; Choke Points</w:t>
      </w:r>
    </w:p>
    <w:p>
      <w:r>
        <w:t>Primary Inbound/Outbound Transit Routes: NH-19 (Durgapur Expressway), Dankuni Freight Terminal, Vidyasagar Setu approach.</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At Kolkatas Cab Drivers Strike, Protesters Discuss the Green Burden Borne by Indias Gig Workers - TheWire.in</w:t>
        <w:br/>
      </w:r>
      <w:r>
        <w:t>• Published Date: 2026-08-12 | Source: TheWire.in</w:t>
        <w:br/>
      </w:r>
      <w:r>
        <w:t>• Modality: Taxi | Severity: LOW</w:t>
        <w:br/>
      </w:r>
    </w:p>
    <w:p>
      <w:r>
        <w:rPr>
          <w:b/>
        </w:rPr>
        <w:t>Incident #2: Poll duty keeps buses off roads in Kolkata, commuters face hardships - Rediff</w:t>
        <w:br/>
      </w:r>
      <w:r>
        <w:t>• Published Date: 2026-05-01 | Source: Rediff</w:t>
        <w:br/>
      </w:r>
      <w:r>
        <w:t>• Modality: Bus | Severity: LOW</w:t>
        <w:br/>
      </w:r>
    </w:p>
    <w:p>
      <w:r>
        <w:rPr>
          <w:b/>
        </w:rPr>
        <w:t>Incident #3: At Kolkatas Cab Drivers Strike, Protesters Discuss the Green Burden Borne by Indias Gig Workers - TheWire.in</w:t>
        <w:br/>
      </w:r>
      <w:r>
        <w:t>• Published Date: None | Source: Unknown</w:t>
        <w:br/>
      </w:r>
      <w:r>
        <w:t>• Modality: Taxi | Severity: LOW</w:t>
        <w:br/>
      </w:r>
    </w:p>
    <w:p>
      <w:pPr>
        <w:pStyle w:val="Heading1"/>
      </w:pPr>
      <w:r>
        <w:t>4. Autonomous Copilot Operational &amp; Legal Rules</w:t>
      </w:r>
    </w:p>
    <w:p>
      <w:r>
        <w:t>When active transit strikes or civil disruptions are detected in Kolkata, the O2C Copilot applies the following deterministic decision rules:</w:t>
      </w:r>
    </w:p>
    <w:p>
      <w:r>
        <w:t>• Force Majeure Adjudication (Clause 8.4): If a government-sanctioned bandh or total union road blockade in Kolkata delays transit by &gt;12 hours, the carrier delay SLA penalty ($500/day) is waived upon submission of verified e-way bill telematics or police traffic advisory.</w:t>
      </w:r>
    </w:p>
    <w:p>
      <w:r>
        <w:t>• Dynamic Transit Buffer: For any order scheduled to pass through Kolkata with active strike news, automatically inject a +12.0 to +24.0 hour safety buffer into the predicted ETA.</w:t>
      </w:r>
    </w:p>
    <w:p>
      <w:r>
        <w:t>• Mode Shift Escalation: For life-critical veterinary diets and urgent pharmaceuticals routed through Kolkata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