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Bangalore Severe Weather Protocol</w:t>
      </w:r>
    </w:p>
    <w:p>
      <w:r>
        <w:t>Generated: 2026-08-31 20:26:01</w:t>
      </w:r>
    </w:p>
    <w:p>
      <w:r>
        <w:t>Total Alerts Analyzed: 3</w:t>
      </w:r>
    </w:p>
    <w:p/>
    <w:p>
      <w:pPr>
        <w:pStyle w:val="Heading1"/>
      </w:pPr>
      <w:r>
        <w:t>Executive Summary</w:t>
      </w:r>
    </w:p>
    <w:p>
      <w:r>
        <w:t>This document outlines severe weather protocols for Bangalore based on historical weather alert patterns. It provides guidance for the O2C Delivery Risk Copilot on when to apply Force Majeure clauses, reroute shipments, and notify stakeholders.</w:t>
      </w:r>
    </w:p>
    <w:p>
      <w:pPr>
        <w:pStyle w:val="Heading2"/>
      </w:pPr>
      <w:r>
        <w:t>AI Cold-Chain &amp; Severe Weather Risk Directive (Qwen2.5 Synthesized)</w:t>
      </w:r>
    </w:p>
    <w:p>
      <w:r>
        <w:t>Given the severe weather alerts in Bangalore, with overcast conditions and strong winds, there are significant risks to cold-chain logistics operations. The strong winds, particularly at 19.2-19.7 m/s, pose a threat to the integrity of cold storage units and refrigerated vehicles. These conditions can lead to temperature fluctuations, which may cause temperature degradation in sensitive pharmaceuticals and perishable goods. To mitigate these risks, it is imperative to ensure that all cold storage units are securely anchored and that refrigerated vehicles are parked in sheltered areas or equipped with additional wind barriers. Regular monitoring of temperature and humidity levels should be conducted, and any deviations must be promptly addressed to maintain the quality and safety of the cargo.</w:t>
        <w:br/>
        <w:br/>
        <w:t>For fleet safety, it is crucial to implement strict QA hold protocols. Vehicles should undergo a thorough inspection before and after each trip to ensure that refrigeration systems are functioning optimally. Any issues identified should be addressed immediately, and the vehicle should not be used until it meets the required standards. In the event of unavoidable delays due to the weather, carriers should document the situation and communicate with the relevant stakeholders to ensure compliance with service level agreements (SLA). Given the force majeure clause, it is advisable to document the weather conditions and their impact on operations. This documentation can be used to support claims for extended delivery times or other necessary adjustments, ensuring that the carrier's SLA is not breached and that the quality assurance of the cargo is maintained throughout the supply chain.</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Bangalore Weather Alerts</w:t>
      </w:r>
    </w:p>
    <w:p>
      <w:pPr>
        <w:pStyle w:val="Heading2"/>
      </w:pPr>
      <w:r>
        <w:t>High Wind &amp; Gale Warning Protocol</w:t>
      </w:r>
    </w:p>
    <w:p>
      <w:r>
        <w:t>💨 3 high wind events recorded. Peak: 19.7 m/s in Bangalore.</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