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Mumbai Severe Weather Protocol</w:t>
      </w:r>
    </w:p>
    <w:p>
      <w:r>
        <w:t>Generated: 2026-08-31 20:26:54</w:t>
      </w:r>
    </w:p>
    <w:p>
      <w:r>
        <w:t>Total Alerts Analyzed: 4</w:t>
      </w:r>
    </w:p>
    <w:p/>
    <w:p>
      <w:pPr>
        <w:pStyle w:val="Heading1"/>
      </w:pPr>
      <w:r>
        <w:t>Executive Summary</w:t>
      </w:r>
    </w:p>
    <w:p>
      <w:r>
        <w:t>This document outlines severe weather protocols for Mumbai based on historical weather alert patterns. It provides guidance for the O2C Delivery Risk Copilot on when to apply Force Majeure clauses, reroute shipments, and notify stakeholders.</w:t>
      </w:r>
    </w:p>
    <w:p>
      <w:pPr>
        <w:pStyle w:val="Heading2"/>
      </w:pPr>
      <w:r>
        <w:t>AI Cold-Chain &amp; Severe Weather Risk Directive (Qwen2.5 Synthesized)</w:t>
      </w:r>
    </w:p>
    <w:p>
      <w:r>
        <w:t>Given the current weather conditions in Mumbai, the main risks for cold-chain logistics operations are primarily related to temperature degradation and potential disruptions to fleet safety. The mainly clear weather with temperatures around 28°C and light drizzle with minimal rainfall do not pose significant direct threats to the integrity of temperature-sensitive pharmaceuticals. However, the high wind speeds, particularly at 20.6 m/s, could lead to potential safety hazards for the fleet, including the risk of cargo shifting or damage to vehicles. Therefore, it is crucial to ensure that all vehicles are securely loaded and that the cargo is properly secured to prevent any movement during transit.</w:t>
        <w:br/>
        <w:br/>
        <w:t>For Quality Assurance and Quality Control (QA/QC) protocols, it is recommended to conduct a thorough pre-departure inspection of all cold-chain units to ensure they are functioning correctly and maintaining the required temperature. If any unit is found to be malfunctioning, it should be immediately repaired or replaced to avoid any risk of temperature degradation. Additionally, all shipments should be accompanied by a detailed temperature log to monitor the integrity of the cargo during transit. In the event of any deviation from the expected temperature, immediate action should be taken to rectify the situation, and a report should be generated for further analysis and corrective measures.</w:t>
        <w:br/>
        <w:br/>
        <w:t>In terms of Service Level Agreement (SLA) Force Majeure eligibility, the current weather conditions do not typically qualify as force majeure events. However, if the weather conditions deteriorate significantly, leading to potential risks such as severe wind damage or extreme temperature fluctuations, it may be necessary to reassess the situation. It is advisable to maintain a flexible approach and have contingency plans in place, such as rerouting shipments or temporarily halting operations if necessary. Any claims for force majeure should be supported by documented evidence of the weather conditions and their impact on operations.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Mumbai Weather Alerts</w:t>
      </w:r>
    </w:p>
    <w:p>
      <w:pPr>
        <w:pStyle w:val="Heading2"/>
      </w:pPr>
      <w:r>
        <w:t>High Wind &amp; Gale Warning Protocol</w:t>
      </w:r>
    </w:p>
    <w:p>
      <w:r>
        <w:t>💨 4 high wind events recorded. Peak: 20.6 m/s in Mumbai.</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