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ACADEMIC &amp; VETERINARY TEACHING HOSPITAL ZERO-DEFECT MASTER SLA</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SLA-LOG-VNS-0030</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Enterprise Healthcare Logistics, Quality Assurance, &amp; Legal Affairs</w:t>
            </w:r>
          </w:p>
        </w:tc>
      </w:tr>
      <w:tr>
        <w:tc>
          <w:tcPr>
            <w:tcW w:type="dxa" w:w="3168"/>
          </w:tcPr>
          <w:p>
            <w:r>
              <w:rPr>
                <w:b/>
                <w:sz w:val="19"/>
              </w:rPr>
              <w:t>Customer Classification</w:t>
            </w:r>
          </w:p>
        </w:tc>
        <w:tc>
          <w:tcPr>
            <w:tcW w:type="dxa" w:w="6480"/>
          </w:tcPr>
          <w:p>
            <w:r>
              <w:rPr>
                <w:sz w:val="19"/>
              </w:rPr>
              <w:t>Tier 1A / Academic Veterinary Medical Centers &amp; Research Institutions</w:t>
            </w:r>
          </w:p>
        </w:tc>
      </w:tr>
      <w:tr>
        <w:tc>
          <w:tcPr>
            <w:tcW w:type="dxa" w:w="3168"/>
          </w:tcPr>
          <w:p>
            <w:r>
              <w:rPr>
                <w:b/>
                <w:sz w:val="19"/>
              </w:rPr>
              <w:t>Target SAP Tables / Fields</w:t>
            </w:r>
          </w:p>
        </w:tc>
        <w:tc>
          <w:tcPr>
            <w:tcW w:type="dxa" w:w="6480"/>
          </w:tcPr>
          <w:p>
            <w:r>
              <w:rPr>
                <w:sz w:val="19"/>
              </w:rPr>
              <w:t>KNA1 (KUNNR, KTOKD), VBAK (AUART, VDATU), MARA (MATNR, MATKL), LIKP (VBELN)</w:t>
            </w:r>
          </w:p>
        </w:tc>
      </w:tr>
    </w:tbl>
    <w:p/>
    <w:p>
      <w:pPr>
        <w:pStyle w:val="Heading1"/>
      </w:pPr>
      <w:r>
        <w:rPr>
          <w:color w:val="1E3A8A"/>
        </w:rPr>
        <w:t>2. Commercial Purpose &amp; Operational Context</w:t>
      </w:r>
    </w:p>
    <w:p>
      <w:r>
        <w:t>Establishes a zero-defect delivery mandate for accredited university veterinary teaching hospitals, ICU veterinary trauma facilities, and clinical trial research facilities. Deliveries to these institutions directly impact ongoing clinical surgical trials and critical patient intensive care units, demanding strict schedule adherence and rigorous batch documentation.</w:t>
      </w:r>
    </w:p>
    <w:p>
      <w:pPr>
        <w:pStyle w:val="Heading1"/>
      </w:pPr>
      <w:r>
        <w:rPr>
          <w:color w:val="1E3A8A"/>
        </w:rPr>
        <w:t>3. Key Definitions &amp; Operational Thresholds</w:t>
      </w:r>
    </w:p>
    <w:p>
      <w:r>
        <w:rPr>
          <w:b/>
        </w:rPr>
        <w:t xml:space="preserve">• Tier 1A Academic Consignee: </w:t>
      </w:r>
      <w:r>
        <w:t>University-affiliated veterinary hospitals, veterinary clinical trial research centers, and tertiary referral emergency centers.</w:t>
      </w:r>
    </w:p>
    <w:p>
      <w:r>
        <w:rPr>
          <w:b/>
        </w:rPr>
        <w:t xml:space="preserve">• Zero-Tolerance Delivery Window: </w:t>
      </w:r>
      <w:r>
        <w:t>A mandatory delivery appointment window of plus or minus thirty (±30) minutes with zero (0) grace period tolerance.</w:t>
      </w:r>
    </w:p>
    <w:p>
      <w:r>
        <w:rPr>
          <w:b/>
        </w:rPr>
        <w:t xml:space="preserve">• Batch Documentation Dossier: </w:t>
      </w:r>
      <w:r>
        <w:t>Manufacturer Certificates of Analysis (CoA), sterile release certificates, and chain-of-custody temperature logs mandatory upon delivery.</w:t>
      </w:r>
    </w:p>
    <w:p>
      <w:pPr>
        <w:pStyle w:val="Heading1"/>
      </w:pPr>
      <w:r>
        <w:rPr>
          <w:color w:val="1E3A8A"/>
        </w:rPr>
        <w:t>4. Core Binding SLA / Policy Clauses</w:t>
      </w:r>
    </w:p>
    <w:p>
      <w:r>
        <w:rPr>
          <w:b/>
        </w:rPr>
        <w:t>4.1 Zero Grace Period Execution</w:t>
        <w:br/>
      </w:r>
      <w:r>
        <w:t>Due to strict hospital pharmacy intake schedules, deliveries arriving outside the confirmed dock appointment window are classified as non-compliant.</w:t>
      </w:r>
    </w:p>
    <w:p>
      <w:r>
        <w:rPr>
          <w:b/>
        </w:rPr>
        <w:t>4.2 Mandatory Batch Traceability</w:t>
        <w:br/>
      </w:r>
      <w:r>
        <w:t>Every shipment containing surgical products (MARA-MATKL = SURGICAL) or specialty diets must include physical and electronic CoA documentation matching SAP batch records.</w:t>
      </w:r>
    </w:p>
    <w:p>
      <w:r>
        <w:rPr>
          <w:b/>
        </w:rPr>
        <w:t>4.3 Rapid Escalation Threshold</w:t>
        <w:br/>
      </w:r>
      <w:r>
        <w:t>Any predicted delivery delay exceeding four (4.0) hours requires immediate dispatch of high-priority alerts to the Hospital Director of Pharmacy and enterprise logistics command.</w:t>
      </w:r>
    </w:p>
    <w:p>
      <w:pPr>
        <w:pStyle w:val="Heading1"/>
      </w:pPr>
      <w:r>
        <w:rPr>
          <w:color w:val="1E3A8A"/>
        </w:rPr>
        <w:t>5. Financial Matrices, Penalties &amp; Liability Caps</w:t>
      </w:r>
    </w:p>
    <w:p>
      <w:r>
        <w:rPr>
          <w:b/>
        </w:rPr>
        <w:t xml:space="preserve">• Tier 1A Delay Penalty: </w:t>
      </w:r>
      <w:r>
        <w:t>$750.00 USD per calendar day (or fraction thereof exceeding 2 hours) past the scheduled appointment window.</w:t>
      </w:r>
    </w:p>
    <w:p>
      <w:r>
        <w:rPr>
          <w:b/>
        </w:rPr>
        <w:t xml:space="preserve">• Documentation Non-Compliance Surcharge: </w:t>
      </w:r>
      <w:r>
        <w:t>$250.00 USD per occurrence for missing, illegible, or mismatched Certificate of Analysis documentation.</w:t>
      </w:r>
    </w:p>
    <w:p>
      <w:r>
        <w:rPr>
          <w:b/>
        </w:rPr>
        <w:t xml:space="preserve">• Emergency Surgical Surgery Reschedule Indemnity: </w:t>
      </w:r>
      <w:r>
        <w:t>Carrier liable for up to $1,500.00 USD in verified clinic preparation costs if late delivery causes cancellation of scheduled patient surgery.</w:t>
      </w:r>
    </w:p>
    <w:p>
      <w:pPr>
        <w:pStyle w:val="Heading1"/>
      </w:pPr>
      <w:r>
        <w:rPr>
          <w:color w:val="1E3A8A"/>
        </w:rPr>
        <w:t>6. Exceptional Clauses &amp; Relief Criteria</w:t>
      </w:r>
    </w:p>
    <w:p>
      <w:r>
        <w:rPr>
          <w:b/>
        </w:rPr>
        <w:t xml:space="preserve">• Certified Campus Security Lockout: </w:t>
      </w:r>
      <w:r>
        <w:t>University-wide police or security lockdowns verified by official university dispatch grant full penalty relief.</w:t>
      </w:r>
    </w:p>
    <w:p>
      <w:r>
        <w:rPr>
          <w:b/>
        </w:rPr>
        <w:t xml:space="preserve">• Hospital Receiving Dock Refusal Due to Surge: </w:t>
      </w:r>
      <w:r>
        <w:t>If hospital ICU emergency forces temporary dock closure, carrier granted detention pay and penalty immunity.</w:t>
      </w:r>
    </w:p>
    <w:p>
      <w:pPr>
        <w:pStyle w:val="Heading1"/>
      </w:pPr>
      <w:r>
        <w:rPr>
          <w:color w:val="1E3A8A"/>
        </w:rPr>
        <w:t>7. Autonomous AI Enforcement &amp; System of Record Actions</w:t>
      </w:r>
    </w:p>
    <w:p>
      <w:r>
        <w:rPr>
          <w:b/>
        </w:rPr>
        <w:t xml:space="preserve">• Delay prediction &gt; 2 hours for Tier 1A: </w:t>
      </w:r>
      <w:r>
        <w:t>Copilot autonomously pings carrier dispatch via API, escalates to National Logistics Director, and prepares backup courier dispatch.</w:t>
      </w:r>
    </w:p>
    <w:p>
      <w:r>
        <w:rPr>
          <w:b/>
        </w:rPr>
        <w:t xml:space="preserve">• Delivery confirmed &gt; appointment window: </w:t>
      </w:r>
      <w:r>
        <w:t>Automatic posting of $750.00 debit memo to SAP Accounts Payable against carrier contract.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