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CORPORATE GROUP PURCHASING ORGANIZATION (GPO) PERFORMANCE &amp; REBATE CLAWBACK SLA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SLA-LOG-VNS-0031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Commercial Contracts, Enterprise GPO Management, &amp; Finance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Customer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Corporate Enterprise Group Purchasing Organizations (GPOs)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KNVV (VKORG, VTWEG, KUNNR), VBAK (NETWR), LIKP (WBSTK), VBRK (NETWR, RFBSK)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Governs the aggregated supply chain performance obligations, monthly On-Time In-Full (OTIF) thresholds, and volume rebate penalty clawbacks established under multi-unit corporate veterinary group purchasing agreements. Establishes commercial alignment across enterprise chains representing hundreds of clinic locations.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GPO Master Entity: </w:t>
      </w:r>
      <w:r>
        <w:t>A corporate veterinary management group representing a consolidated network of clinic member facilities under a master procurement contract.</w:t>
      </w:r>
    </w:p>
    <w:p>
      <w:r>
        <w:rPr>
          <w:b/>
        </w:rPr>
        <w:t xml:space="preserve">• On-Time In-Full (OTIF) Index: </w:t>
      </w:r>
      <w:r>
        <w:t>The monthly ratio of deliveries meeting both Promised Delivery Date (within 24h grace) and 100% quantity fulfillment without stock-out split.</w:t>
      </w:r>
    </w:p>
    <w:p>
      <w:r>
        <w:rPr>
          <w:b/>
        </w:rPr>
        <w:t xml:space="preserve">• Volume Rebate Clawback: </w:t>
      </w:r>
      <w:r>
        <w:t>Contractual forfeiture of corporate quarterly rebate payouts assessed against the enterprise when supply chain failures breach agreed OTIF floors.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Consolidated OTIF Benchmark</w:t>
        <w:br/>
      </w:r>
      <w:r>
        <w:t>The enterprise commits to delivering a monthly minimum OTIF score of 96.0% across all member clinics under the GPO master agreement.</w:t>
      </w:r>
    </w:p>
    <w:p>
      <w:r>
        <w:rPr>
          <w:b/>
        </w:rPr>
        <w:t>4.2 Measurement Period &amp; Data Source</w:t>
        <w:br/>
      </w:r>
      <w:r>
        <w:t>OTIF performance is calculated autonomously on the last calendar day of each month based on SAP LIKP goods issue timestamps and carrier EDI 214 delivery scans.</w:t>
      </w:r>
    </w:p>
    <w:p>
      <w:r>
        <w:rPr>
          <w:b/>
        </w:rPr>
        <w:t>4.3 Carrier Accountability Passthrough</w:t>
        <w:br/>
      </w:r>
      <w:r>
        <w:t>When failure to meet GPO OTIF floors is directly attributable to contracted 3PL carrier transit defaults, all associated rebate penalties are passed through to the non-performing carriers.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OTIF 93.0% to 95.9% (Tier 1 Default): </w:t>
      </w:r>
      <w:r>
        <w:t>Mandatory 2.5% reduction in monthly enterprise rebate payout across all participating member accounts.</w:t>
      </w:r>
    </w:p>
    <w:p>
      <w:r>
        <w:rPr>
          <w:b/>
        </w:rPr>
        <w:t xml:space="preserve">• OTIF 90.0% to 92.9% (Tier 2 Default): </w:t>
      </w:r>
      <w:r>
        <w:t>Mandatory 5.0% reduction in monthly enterprise rebate payout plus a $10,000.00 USD administrative cure credit.</w:t>
      </w:r>
    </w:p>
    <w:p>
      <w:r>
        <w:rPr>
          <w:b/>
        </w:rPr>
        <w:t xml:space="preserve">• OTIF Below 90.0% (Critical Default): </w:t>
      </w:r>
      <w:r>
        <w:t>Immediate right of GPO to terminate exclusive procurement and source alternative diets at enterprise expense.</w:t>
      </w:r>
    </w:p>
    <w:p>
      <w:r>
        <w:rPr>
          <w:b/>
        </w:rPr>
        <w:t xml:space="preserve">• Carrier Passthrough Recovery: </w:t>
      </w:r>
      <w:r>
        <w:t>Carriers failing their individual 96% SLA allocated proportional share of GPO rebate deduction.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Widespread Verified Force Majeure: </w:t>
      </w:r>
      <w:r>
        <w:t>Orders impacted by national or regional meteorological disasters are excluded from monthly OTIF denominator calculations.</w:t>
      </w:r>
    </w:p>
    <w:p>
      <w:r>
        <w:rPr>
          <w:b/>
        </w:rPr>
        <w:t xml:space="preserve">• Consignee Scheduled Order Surges: </w:t>
      </w:r>
      <w:r>
        <w:t>Unforecasted clinic order surges exceeding 200% of 90-day average demand excluded from OTIF calculation if notified &lt; 7 days in advance.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Month-end OTIF calculation &lt; 96.0%: </w:t>
      </w:r>
      <w:r>
        <w:t>Financial settlement engine calculates rebate clawback, executes credit memo adjustments in SAP VBRK, and issues performance report to GPO executive board.</w:t>
      </w:r>
    </w:p>
    <w:p>
      <w:r>
        <w:rPr>
          <w:b/>
        </w:rPr>
        <w:t xml:space="preserve">• Carrier monthly OTIF &lt; 95.0%: </w:t>
      </w:r>
      <w:r>
        <w:t>Carrier allocation reduced by 15% in next quarterly freight bidding cycle.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