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C57"/>
          <w:sz w:val="32"/>
        </w:rPr>
        <w:t>FORCE MAJEURE TRIPARTITE LEGAL BURDEN &amp; EVENT SUBSTANTIATION PROTOCOL</w:t>
      </w:r>
    </w:p>
    <w:p>
      <w:pPr>
        <w:jc w:val="center"/>
      </w:pPr>
      <w:r>
        <w:rPr>
          <w:color w:val="64748B"/>
          <w:sz w:val="20"/>
        </w:rPr>
        <w:t>ENTERPRISE SERVICE LEVEL AGREEMENT &amp; STANDARD OPERATING PROCEDURE</w:t>
      </w:r>
    </w:p>
    <w:p/>
    <w:p>
      <w:pPr>
        <w:pStyle w:val="Heading1"/>
      </w:pPr>
      <w:r>
        <w:rPr>
          <w:color w:val="1E3A8A"/>
        </w:rPr>
        <w:t>1. Document Header &amp; Scope</w:t>
      </w:r>
    </w:p>
    <w:tbl>
      <w:tblPr>
        <w:tblStyle w:val="TableGrid"/>
        <w:tblW w:type="auto" w:w="0"/>
        <w:jc w:val="center"/>
        <w:tblLook w:firstColumn="1" w:firstRow="1" w:lastColumn="0" w:lastRow="0" w:noHBand="0" w:noVBand="1" w:val="04A0"/>
      </w:tblPr>
      <w:tblGrid>
        <w:gridCol w:w="4968"/>
        <w:gridCol w:w="4968"/>
      </w:tblGrid>
      <w:tr>
        <w:tc>
          <w:tcPr>
            <w:tcW w:type="dxa" w:w="3168"/>
          </w:tcPr>
          <w:p>
            <w:r>
              <w:rPr>
                <w:b/>
                <w:sz w:val="19"/>
              </w:rPr>
              <w:t>Document ID</w:t>
            </w:r>
          </w:p>
        </w:tc>
        <w:tc>
          <w:tcPr>
            <w:tcW w:type="dxa" w:w="6480"/>
          </w:tcPr>
          <w:p>
            <w:r>
              <w:rPr>
                <w:sz w:val="19"/>
              </w:rPr>
              <w:t>EXC-POL-2026-001-FM</w:t>
            </w:r>
          </w:p>
        </w:tc>
      </w:tr>
      <w:tr>
        <w:tc>
          <w:tcPr>
            <w:tcW w:type="dxa" w:w="3168"/>
          </w:tcPr>
          <w:p>
            <w:r>
              <w:rPr>
                <w:b/>
                <w:sz w:val="19"/>
              </w:rPr>
              <w:t>Effective Date</w:t>
            </w:r>
          </w:p>
        </w:tc>
        <w:tc>
          <w:tcPr>
            <w:tcW w:type="dxa" w:w="6480"/>
          </w:tcPr>
          <w:p>
            <w:r>
              <w:rPr>
                <w:sz w:val="19"/>
              </w:rPr>
              <w:t>September 15, 2026</w:t>
            </w:r>
          </w:p>
        </w:tc>
      </w:tr>
      <w:tr>
        <w:tc>
          <w:tcPr>
            <w:tcW w:type="dxa" w:w="3168"/>
          </w:tcPr>
          <w:p>
            <w:r>
              <w:rPr>
                <w:b/>
                <w:sz w:val="19"/>
              </w:rPr>
              <w:t>Controlling Department</w:t>
            </w:r>
          </w:p>
        </w:tc>
        <w:tc>
          <w:tcPr>
            <w:tcW w:type="dxa" w:w="6480"/>
          </w:tcPr>
          <w:p>
            <w:r>
              <w:rPr>
                <w:sz w:val="19"/>
              </w:rPr>
              <w:t>Corporate Legal Affairs, Global Supply Chain Compliance, &amp; Contract Arbitration</w:t>
            </w:r>
          </w:p>
        </w:tc>
      </w:tr>
      <w:tr>
        <w:tc>
          <w:tcPr>
            <w:tcW w:type="dxa" w:w="3168"/>
          </w:tcPr>
          <w:p>
            <w:r>
              <w:rPr>
                <w:b/>
                <w:sz w:val="19"/>
              </w:rPr>
              <w:t>Contractual Authority</w:t>
            </w:r>
          </w:p>
        </w:tc>
        <w:tc>
          <w:tcPr>
            <w:tcW w:type="dxa" w:w="6480"/>
          </w:tcPr>
          <w:p>
            <w:r>
              <w:rPr>
                <w:sz w:val="19"/>
              </w:rPr>
              <w:t>Uniform Commercial Code (UCC) § 2-615 &amp; ICC Force Majeure Clause 2020</w:t>
            </w:r>
          </w:p>
        </w:tc>
      </w:tr>
      <w:tr>
        <w:tc>
          <w:tcPr>
            <w:tcW w:type="dxa" w:w="3168"/>
          </w:tcPr>
          <w:p>
            <w:r>
              <w:rPr>
                <w:b/>
                <w:sz w:val="19"/>
              </w:rPr>
              <w:t>Target SAP Tables / Fields</w:t>
            </w:r>
          </w:p>
        </w:tc>
        <w:tc>
          <w:tcPr>
            <w:tcW w:type="dxa" w:w="6480"/>
          </w:tcPr>
          <w:p>
            <w:r>
              <w:rPr>
                <w:sz w:val="19"/>
              </w:rPr>
              <w:t>VBAK (VBELN, LIFSK), LIKP (WADAT, WBSTK), VTTK (TKNUM, STATUS)</w:t>
            </w:r>
          </w:p>
        </w:tc>
      </w:tr>
    </w:tbl>
    <w:p/>
    <w:p>
      <w:pPr>
        <w:pStyle w:val="Heading1"/>
      </w:pPr>
      <w:r>
        <w:rPr>
          <w:color w:val="1E3A8A"/>
        </w:rPr>
        <w:t>2. Commercial Purpose &amp; Operational Context</w:t>
      </w:r>
    </w:p>
    <w:p>
      <w:r>
        <w:t>Establishes a rigorous tripartite legal test and documentary burden of proof for any party invoking Force Majeure (Act of God) exemptions to evade contractual SLA delay penalties. Harmonizes disparate contract terms to eliminate informal, unsubstantiated carrier delay claims while upholding genuine disaster immunity.</w:t>
      </w:r>
    </w:p>
    <w:p>
      <w:pPr>
        <w:pStyle w:val="Heading1"/>
      </w:pPr>
      <w:r>
        <w:rPr>
          <w:color w:val="1E3A8A"/>
        </w:rPr>
        <w:t>3. Key Definitions &amp; Operational Thresholds</w:t>
      </w:r>
    </w:p>
    <w:p>
      <w:r>
        <w:rPr>
          <w:b/>
        </w:rPr>
        <w:t xml:space="preserve">• Tripartite Force Majeure Standard: </w:t>
      </w:r>
      <w:r>
        <w:t>The three mandatory legal criteria that must be simultaneously proven: (1) Beyond Reasonable Control, (2) Unforeseeability at Tender, and (3) Inability to Mitigate.</w:t>
      </w:r>
    </w:p>
    <w:p>
      <w:r>
        <w:rPr>
          <w:b/>
        </w:rPr>
        <w:t xml:space="preserve">• Condition Precedent Notice: </w:t>
      </w:r>
      <w:r>
        <w:t>Mandatory electronic transmission of delay warning no less than twelve (12) hours prior to original PDD expiration per SLA-LOG-VNS-0023.</w:t>
      </w:r>
    </w:p>
    <w:p>
      <w:r>
        <w:rPr>
          <w:b/>
        </w:rPr>
        <w:t xml:space="preserve">• Formal Substantiation Dossier: </w:t>
      </w:r>
      <w:r>
        <w:t>A verified documentary submission filed within seventy-two (72) hours of event cessation containing official meteorological, government, or police records.</w:t>
      </w:r>
    </w:p>
    <w:p>
      <w:pPr>
        <w:pStyle w:val="Heading1"/>
      </w:pPr>
      <w:r>
        <w:rPr>
          <w:color w:val="1E3A8A"/>
        </w:rPr>
        <w:t>4. Core Binding SLA / Policy Clauses</w:t>
      </w:r>
    </w:p>
    <w:p>
      <w:r>
        <w:rPr>
          <w:b/>
        </w:rPr>
        <w:t>4.1 Tripartite Legal Burden of Proof</w:t>
        <w:br/>
      </w:r>
      <w:r>
        <w:t>A carrier or supplier claiming Force Majeure bears the full legal burden of proving: (a) The event was caused by external natural or sovereign forces beyond its control; (b) The event could not have been anticipated or avoided through commercially reasonable diligence; and (c) The party took all reasonable measures to mitigate or circumvent the delay.</w:t>
      </w:r>
    </w:p>
    <w:p>
      <w:r>
        <w:rPr>
          <w:b/>
        </w:rPr>
        <w:t>4.2 Two-Stage Notice Obligation</w:t>
        <w:br/>
      </w:r>
      <w:r>
        <w:t>Immunity is strictly conditional upon: (Stage 1) Automated electronic notification sent &gt;= 12 hours prior to PDD; and (Stage 2) Full evidentiary dossier submitted within 72 hours of event termination.</w:t>
      </w:r>
    </w:p>
    <w:p>
      <w:r>
        <w:rPr>
          <w:b/>
        </w:rPr>
        <w:t>4.3 Exclusions from Force Majeure</w:t>
        <w:br/>
      </w:r>
      <w:r>
        <w:t>Ordinary commercial risks—including driver hours of service exhaustion, routine mechanical breakdown, normal seasonal rain/snow, labor turnover, or fuel price fluctuations—are EXPRESSLY EXCLUDED from Force Majeure relief.</w:t>
      </w:r>
    </w:p>
    <w:p>
      <w:r>
        <w:rPr>
          <w:b/>
        </w:rPr>
        <w:t>4.4 Harmonization &amp; Precedence</w:t>
        <w:br/>
      </w:r>
      <w:r>
        <w:t>This protocol takes legal precedence over all conflicting language in prior vendor agreements. Unconditional weather waivers without notice compliance are null and void.</w:t>
      </w:r>
    </w:p>
    <w:p>
      <w:pPr>
        <w:pStyle w:val="Heading1"/>
      </w:pPr>
      <w:r>
        <w:rPr>
          <w:color w:val="1E3A8A"/>
        </w:rPr>
        <w:t>5. Financial Matrices, Penalties &amp; Liability Caps</w:t>
      </w:r>
    </w:p>
    <w:p>
      <w:r>
        <w:rPr>
          <w:b/>
        </w:rPr>
        <w:t xml:space="preserve">• Full Waiver of Contractual Penalties: </w:t>
      </w:r>
      <w:r>
        <w:t>100% relief from daily delay penalties upon certified satisfaction of tripartite test and two-stage notice mandate.</w:t>
      </w:r>
    </w:p>
    <w:p>
      <w:r>
        <w:rPr>
          <w:b/>
        </w:rPr>
        <w:t xml:space="preserve">• Forfeiture for Failure to Mitigate: </w:t>
      </w:r>
      <w:r>
        <w:t>Total loss of immunity and reinstatement of 100% delay penalties if party failed to provide 12h notice or rejected viable reroute options.</w:t>
      </w:r>
    </w:p>
    <w:p>
      <w:r>
        <w:rPr>
          <w:b/>
        </w:rPr>
        <w:t xml:space="preserve">• Fraudulent Claim Sanction: </w:t>
      </w:r>
      <w:r>
        <w:t>$1,000.00 USD administrative penalty plus immediate suspension of carrier preferred tier status for falsified weather claims.</w:t>
      </w:r>
    </w:p>
    <w:p>
      <w:pPr>
        <w:pStyle w:val="Heading1"/>
      </w:pPr>
      <w:r>
        <w:rPr>
          <w:color w:val="1E3A8A"/>
        </w:rPr>
        <w:t>6. Exceptional Clauses &amp; Relief Criteria</w:t>
      </w:r>
    </w:p>
    <w:p>
      <w:r>
        <w:rPr>
          <w:b/>
        </w:rPr>
        <w:t xml:space="preserve">• Catastrophic Communication Infrastructure Blackout: </w:t>
      </w:r>
      <w:r>
        <w:t>If regional cell towers and satellite networks are physically destroyed by disaster, the 12h electronic notice mandate is deferred until communications restore.</w:t>
      </w:r>
    </w:p>
    <w:p>
      <w:r>
        <w:rPr>
          <w:b/>
        </w:rPr>
        <w:t xml:space="preserve">• Direct Presidential / Governor Emergency Order: </w:t>
      </w:r>
      <w:r>
        <w:t>Official federal/state executive orders mandating total highway confiscation or civil curfew constitute self-authenticating Force Majeure.</w:t>
      </w:r>
    </w:p>
    <w:p>
      <w:pPr>
        <w:pStyle w:val="Heading1"/>
      </w:pPr>
      <w:r>
        <w:rPr>
          <w:color w:val="1E3A8A"/>
        </w:rPr>
        <w:t>7. Autonomous AI Enforcement &amp; System of Record Actions</w:t>
      </w:r>
    </w:p>
    <w:p>
      <w:r>
        <w:rPr>
          <w:b/>
        </w:rPr>
        <w:t xml:space="preserve">• Carrier files Force Majeure claim in portal: </w:t>
      </w:r>
      <w:r>
        <w:t>Copilot cross-references NOAA weather radar, DOT road closure feeds, and ELD timestamps to audit tripartite criteria.</w:t>
      </w:r>
    </w:p>
    <w:p>
      <w:r>
        <w:rPr>
          <w:b/>
        </w:rPr>
        <w:t xml:space="preserve">• Claim fails 12h notice or tripartite test: </w:t>
      </w:r>
      <w:r>
        <w:t>Copilot issues automated claim denial citing Section 4.1/4.2, reinstates SAP penalty debit deduction.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