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DISTRESSED FREIGHT SALVAGE, NON-PROFIT DONATION &amp; REGULATED INCINERATION SOP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QA-SOP-2026-020-DISP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Sustainability, Legal Compliance, Quality Assurance, &amp; Inventory Accounting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Material 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All Distressed, Refused, or Quarantined Veterinary Nutrition &amp; Pharmaceuticals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MARA (MATKL, SHELF_LIFE_MOS), LIPS (LFIMG), BKPF (BELNR, BUKRS), BSEG (WRBTR)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Governs the legally compliant, ethically responsible, and tax-optimized disposition of distressed, delayed, or cosmetically damaged veterinary freight. Establishes a rigorous decision hierarchy separating safe non-profit animal rescue shelter donations from mandatory high-temperature environmental incineration for hazardous pharmaceuticals.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Distressed Freight: </w:t>
      </w:r>
      <w:r>
        <w:t>Cargo refused by consignees, damaged in transit, cosmetically flawed, or nearing minimum shelf-life thresholds (MARA-SHELF_LIFE_MOS &lt; 3 months).</w:t>
      </w:r>
    </w:p>
    <w:p>
      <w:r>
        <w:rPr>
          <w:b/>
        </w:rPr>
        <w:t xml:space="preserve">• Non-Profit Rescue Donation: </w:t>
      </w:r>
      <w:r>
        <w:t>Transfer of sound, wholesome nutrition with cosmetic carton damage to verified 501(c)(3) animal shelters per IRS Code Section 170(e)(3).</w:t>
      </w:r>
    </w:p>
    <w:p>
      <w:r>
        <w:rPr>
          <w:b/>
        </w:rPr>
        <w:t xml:space="preserve">• Regulated Incineration: </w:t>
      </w:r>
      <w:r>
        <w:t>Mandatory high-temperature destruction (&gt;1000°C) of pharmaceuticals, surgical items, or biologically adulterated goods at a certified EPA/state waste facility.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Three-Tier Disposition Hierarchy</w:t>
        <w:br/>
      </w:r>
      <w:r>
        <w:t>All distressed inventory must be classified into: Tier A (Commercial Restock), Tier B (Shelter Donation), or Tier C (Regulated Destruction).</w:t>
      </w:r>
    </w:p>
    <w:p>
      <w:r>
        <w:rPr>
          <w:b/>
        </w:rPr>
        <w:t>4.2 Shelter Donation Criteria</w:t>
        <w:br/>
      </w:r>
      <w:r>
        <w:t>Dry pet nutrition (PET_DRY) and intact canned diets with superficial exterior denting or carton crush, with at least 45 days remaining shelf life, must be donated to non-profit animal rescue partners.</w:t>
      </w:r>
    </w:p>
    <w:p>
      <w:r>
        <w:rPr>
          <w:b/>
        </w:rPr>
        <w:t>4.3 Mandatory Destruction Criteria</w:t>
        <w:br/>
      </w:r>
      <w:r>
        <w:t>All veterinary medications (VET_MED), opened prescription diets, sterile surgical sutures (SURGICAL), and thermally spoiled biologics are strictly barred from donation and must undergo certified incineration.</w:t>
      </w:r>
    </w:p>
    <w:p>
      <w:r>
        <w:rPr>
          <w:b/>
        </w:rPr>
        <w:t>4.4 Certificate of Destruction (CoD) Mandate</w:t>
        <w:br/>
      </w:r>
      <w:r>
        <w:t>A certified CoD signed by an EPA-licensed incinerator must be uploaded to SAP MM attachment directory within fourteen (14) days of scrap authorization.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Corporate Donation Tax Valuation: </w:t>
      </w:r>
      <w:r>
        <w:t>Eligible for federal enhanced tax deduction under IRC 170(e)(3) equal to cost of goods plus one-half the mark-up value.</w:t>
      </w:r>
    </w:p>
    <w:p>
      <w:r>
        <w:rPr>
          <w:b/>
        </w:rPr>
        <w:t xml:space="preserve">• Destruction Processing Cost Allocation: </w:t>
      </w:r>
      <w:r>
        <w:t>Incineration fee ($0.45/kg + $150 processing) charged to carrier if transit negligence caused condemnation.</w:t>
      </w:r>
    </w:p>
    <w:p>
      <w:r>
        <w:rPr>
          <w:b/>
        </w:rPr>
        <w:t xml:space="preserve">• Inventory Write-Off Accounting: </w:t>
      </w:r>
      <w:r>
        <w:t>Automated posting in SAP FI/CO credit inventory account (G/L 130000) and debit salvage loss (G/L 680000).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Manufacturer Product Recall: </w:t>
      </w:r>
      <w:r>
        <w:t>In the event of an FDA/USDA regulatory recall, all donation rights are suspended; 100% of lots must be quarantined for regulatory inspection.</w:t>
      </w:r>
    </w:p>
    <w:p>
      <w:r>
        <w:rPr>
          <w:b/>
        </w:rPr>
        <w:t xml:space="preserve">• Minor Secondary Carton Scuff: </w:t>
      </w:r>
      <w:r>
        <w:t>If primary inner pouches are 100% pristine and &gt; 6 months shelf life remains, goods may be repackaged for secondary distribution.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QA flags shipment as 'CONDEMNED_UNRECOVERABLE': </w:t>
      </w:r>
      <w:r>
        <w:t>Copilot generates SAP Scrap Order (Movement Type 551), dispatches hazardous waste manifest to carrier, and tracks CoD completion.</w:t>
      </w:r>
    </w:p>
    <w:p>
      <w:r>
        <w:rPr>
          <w:b/>
        </w:rPr>
        <w:t xml:space="preserve">• Donation transfer approved by QA Lead: </w:t>
      </w:r>
      <w:r>
        <w:t>SAP movement type 555 posted, Bill of Lading issued to verified 501(c)(3) animal sanctuary with tax receipt.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