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2C57"/>
          <w:sz w:val="32"/>
        </w:rPr>
        <w:t>STERILE MEDICAL DEVICE &amp; HERMETIC SURGICAL PACKAGING INTEGRITY PROTOCOL</w:t>
      </w:r>
    </w:p>
    <w:p>
      <w:pPr>
        <w:jc w:val="center"/>
      </w:pPr>
      <w:r>
        <w:rPr>
          <w:color w:val="64748B"/>
          <w:sz w:val="20"/>
        </w:rPr>
        <w:t>ENTERPRISE SERVICE LEVEL AGREEMENT &amp; STANDARD OPERATING PROCEDURE</w:t>
      </w:r>
    </w:p>
    <w:p/>
    <w:p>
      <w:pPr>
        <w:pStyle w:val="Heading1"/>
      </w:pPr>
      <w:r>
        <w:rPr>
          <w:color w:val="1E3A8A"/>
        </w:rPr>
        <w:t>1. Document Header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QA-SOP-2026-018-SURG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September 15,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Controlling Department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Surgical Device Quality Assurance &amp; Medical Device Regulatory Affairs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Material 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Sterile Veterinary Surgical Supplies, Suture Packs, &amp; Implants (MARA-MATKL = SURGICAL)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  <w:t>Target SAP Tables / Fields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MARA (MATNR, MATKL = 'SURGICAL'), LIPS (LFIMG, VRKME), LIKP (VBELN)</w:t>
            </w:r>
          </w:p>
        </w:tc>
      </w:tr>
    </w:tbl>
    <w:p/>
    <w:p>
      <w:pPr>
        <w:pStyle w:val="Heading1"/>
      </w:pPr>
      <w:r>
        <w:rPr>
          <w:color w:val="1E3A8A"/>
        </w:rPr>
        <w:t>2. Commercial Purpose &amp; Operational Context</w:t>
      </w:r>
    </w:p>
    <w:p>
      <w:r>
        <w:t>Establishes physical packaging standards, transit vibration thresholds, and zero-tolerance breach protocols for sterile medical devices, veterinary surgical suture packs, orthopedic implants, and sterile procedure sets. Ensures strict compliance with ISO 11607 packaging standards to eliminate post-operative infection risks in animal patients.</w:t>
      </w:r>
    </w:p>
    <w:p>
      <w:pPr>
        <w:pStyle w:val="Heading1"/>
      </w:pPr>
      <w:r>
        <w:rPr>
          <w:color w:val="1E3A8A"/>
        </w:rPr>
        <w:t>3. Key Definitions &amp; Operational Thresholds</w:t>
      </w:r>
    </w:p>
    <w:p>
      <w:r>
        <w:rPr>
          <w:b/>
        </w:rPr>
        <w:t xml:space="preserve">• Hermetic Sterile Barrier: </w:t>
      </w:r>
      <w:r>
        <w:t>The primary sealed pouch or thermoformed blister pack engineered to prevent microbial ingress under ambient atmospheric pressure.</w:t>
      </w:r>
    </w:p>
    <w:p>
      <w:r>
        <w:rPr>
          <w:b/>
        </w:rPr>
        <w:t xml:space="preserve">• Micro-Puncture Defect: </w:t>
      </w:r>
      <w:r>
        <w:t>Any breach, pinhole, tear, or channel seal separation in the sterile barrier exceeding 50 microns.</w:t>
      </w:r>
    </w:p>
    <w:p>
      <w:r>
        <w:rPr>
          <w:b/>
        </w:rPr>
        <w:t xml:space="preserve">• Crush Compromise: </w:t>
      </w:r>
      <w:r>
        <w:t>Deformation of outer corrugated packaging exceeding 20% vertical compression that compromises secondary sterile barrier integrity.</w:t>
      </w:r>
    </w:p>
    <w:p>
      <w:pPr>
        <w:pStyle w:val="Heading1"/>
      </w:pPr>
      <w:r>
        <w:rPr>
          <w:color w:val="1E3A8A"/>
        </w:rPr>
        <w:t>4. Core Binding SLA / Policy Clauses</w:t>
      </w:r>
    </w:p>
    <w:p>
      <w:r>
        <w:rPr>
          <w:b/>
        </w:rPr>
        <w:t>4.1 Zero-Tolerance Sterility Mandate</w:t>
        <w:br/>
      </w:r>
      <w:r>
        <w:t>Because compromised packaging can lead to fatal systemic animal sepsis, any physical tear, puncture, moisture absorption, or seal separation results in mandatory 100% batch rejection.</w:t>
      </w:r>
    </w:p>
    <w:p>
      <w:r>
        <w:rPr>
          <w:b/>
        </w:rPr>
        <w:t>4.2 Top-Load Stacking Prohibition</w:t>
        <w:br/>
      </w:r>
      <w:r>
        <w:t>Cartons labeled 'SURGICAL / STERILE - DO NOT DOUBLE STACK' must be placed strictly on top tier of pallets. Double-stacking pallet freight atop sterile goods is a contractual violation.</w:t>
      </w:r>
    </w:p>
    <w:p>
      <w:r>
        <w:rPr>
          <w:b/>
        </w:rPr>
        <w:t>4.3 Moisture &amp; Condensation Barrier</w:t>
        <w:br/>
      </w:r>
      <w:r>
        <w:t>Sterile packaging must remain bone dry. Water-stained cartons, condensation droplets, or humidity exposure exceeding 80% RH require immediate quarantine.</w:t>
      </w:r>
    </w:p>
    <w:p>
      <w:pPr>
        <w:pStyle w:val="Heading1"/>
      </w:pPr>
      <w:r>
        <w:rPr>
          <w:color w:val="1E3A8A"/>
        </w:rPr>
        <w:t>5. Financial Matrices, Penalties &amp; Liability Caps</w:t>
      </w:r>
    </w:p>
    <w:p>
      <w:r>
        <w:rPr>
          <w:b/>
        </w:rPr>
        <w:t xml:space="preserve">• Full Batch Rejection Liability: </w:t>
      </w:r>
      <w:r>
        <w:t>Carrier liable for 100% invoice value of all cartons displaying crush or moisture damage (MARA-NETPR * quantity).</w:t>
      </w:r>
    </w:p>
    <w:p>
      <w:r>
        <w:rPr>
          <w:b/>
        </w:rPr>
        <w:t xml:space="preserve">• Emergency Surgical Courier Expedited Fee: </w:t>
      </w:r>
      <w:r>
        <w:t>Up to $750.00 USD dedicated hotshot courier cost to deliver replacement sutures to scheduled surgeries.</w:t>
      </w:r>
    </w:p>
    <w:p>
      <w:r>
        <w:rPr>
          <w:b/>
        </w:rPr>
        <w:t xml:space="preserve">• Sterile Scrappage Assessment: </w:t>
      </w:r>
      <w:r>
        <w:t>Carrier pays $200.00 USD certified medical waste disposal and destruction processing fee.</w:t>
      </w:r>
    </w:p>
    <w:p>
      <w:pPr>
        <w:pStyle w:val="Heading1"/>
      </w:pPr>
      <w:r>
        <w:rPr>
          <w:color w:val="1E3A8A"/>
        </w:rPr>
        <w:t>6. Exceptional Clauses &amp; Relief Criteria</w:t>
      </w:r>
    </w:p>
    <w:p>
      <w:r>
        <w:rPr>
          <w:b/>
        </w:rPr>
        <w:t xml:space="preserve">• Secondary Carton Cosmetic Blemish: </w:t>
      </w:r>
      <w:r>
        <w:t>Superficial scuffing or tape peeling on tertiary outer shipper cartons is acceptable provided primary pouch passes dye-penetration inspection.</w:t>
      </w:r>
    </w:p>
    <w:p>
      <w:r>
        <w:rPr>
          <w:b/>
        </w:rPr>
        <w:t xml:space="preserve">• Pre-Shipment Warehouse Exception: </w:t>
      </w:r>
      <w:r>
        <w:t>If warehouse WMS inspection photos prove damage existed prior to carrier tender, carrier is fully exonerated.</w:t>
      </w:r>
    </w:p>
    <w:p>
      <w:pPr>
        <w:pStyle w:val="Heading1"/>
      </w:pPr>
      <w:r>
        <w:rPr>
          <w:color w:val="1E3A8A"/>
        </w:rPr>
        <w:t>7. Autonomous AI Enforcement &amp; System of Record Actions</w:t>
      </w:r>
    </w:p>
    <w:p>
      <w:r>
        <w:rPr>
          <w:b/>
        </w:rPr>
        <w:t xml:space="preserve">• Consignee receiving dock logs 'Damp or Crushed Surgical Box': </w:t>
      </w:r>
      <w:r>
        <w:t>Copilot immediately issues replacement delivery order in SAP, applies full chargeback to delivering carrier.</w:t>
      </w:r>
    </w:p>
    <w:p>
      <w:r>
        <w:rPr>
          <w:b/>
        </w:rPr>
        <w:t xml:space="preserve">• Carrier driver photographs damaged outer crate: </w:t>
      </w:r>
      <w:r>
        <w:t>Immediate SAP credit memo generated to clinic within 1 hour.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