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DRIVER HOURS OF SERVICE (HOS) COMPLIANCE &amp; BREAKDOWN RELIEF MANDATE</w:t>
      </w:r>
    </w:p>
    <w:p>
      <w:pPr>
        <w:jc w:val="center"/>
      </w:pPr>
      <w:r>
        <w:rPr>
          <w:color w:val="64748B"/>
          <w:sz w:val="20"/>
        </w:rPr>
        <w:t>ENTERPRISE SERVICE LEVEL AGREEMENT &amp; STANDARD OPERATING PROCEDURE</w:t>
      </w:r>
    </w:p>
    <w:p/>
    <w:p>
      <w:pPr>
        <w:pStyle w:val="Heading1"/>
      </w:pPr>
      <w:r>
        <w:rPr>
          <w:color w:val="1E3A8A"/>
        </w:rPr>
        <w:t>1. Document Header &amp; Scope</w:t>
      </w:r>
    </w:p>
    <w:tbl>
      <w:tblPr>
        <w:tblStyle w:val="TableGrid"/>
        <w:tblW w:type="auto" w:w="0"/>
        <w:jc w:val="center"/>
        <w:tblLook w:firstColumn="1" w:firstRow="1" w:lastColumn="0" w:lastRow="0" w:noHBand="0" w:noVBand="1" w:val="04A0"/>
      </w:tblPr>
      <w:tblGrid>
        <w:gridCol w:w="4968"/>
        <w:gridCol w:w="4968"/>
      </w:tblGrid>
      <w:tr>
        <w:tc>
          <w:tcPr>
            <w:tcW w:type="dxa" w:w="3168"/>
          </w:tcPr>
          <w:p>
            <w:r>
              <w:rPr>
                <w:b/>
                <w:sz w:val="19"/>
              </w:rPr>
              <w:t>Document ID</w:t>
            </w:r>
          </w:p>
        </w:tc>
        <w:tc>
          <w:tcPr>
            <w:tcW w:type="dxa" w:w="6480"/>
          </w:tcPr>
          <w:p>
            <w:r>
              <w:rPr>
                <w:sz w:val="19"/>
              </w:rPr>
              <w:t>MVA-ADD-2026-018-HOS</w:t>
            </w:r>
          </w:p>
        </w:tc>
      </w:tr>
      <w:tr>
        <w:tc>
          <w:tcPr>
            <w:tcW w:type="dxa" w:w="3168"/>
          </w:tcPr>
          <w:p>
            <w:r>
              <w:rPr>
                <w:b/>
                <w:sz w:val="19"/>
              </w:rPr>
              <w:t>Effective Date</w:t>
            </w:r>
          </w:p>
        </w:tc>
        <w:tc>
          <w:tcPr>
            <w:tcW w:type="dxa" w:w="6480"/>
          </w:tcPr>
          <w:p>
            <w:r>
              <w:rPr>
                <w:sz w:val="19"/>
              </w:rPr>
              <w:t>September 15, 2026</w:t>
            </w:r>
          </w:p>
        </w:tc>
      </w:tr>
      <w:tr>
        <w:tc>
          <w:tcPr>
            <w:tcW w:type="dxa" w:w="3168"/>
          </w:tcPr>
          <w:p>
            <w:r>
              <w:rPr>
                <w:b/>
                <w:sz w:val="19"/>
              </w:rPr>
              <w:t>Controlling Department</w:t>
            </w:r>
          </w:p>
        </w:tc>
        <w:tc>
          <w:tcPr>
            <w:tcW w:type="dxa" w:w="6480"/>
          </w:tcPr>
          <w:p>
            <w:r>
              <w:rPr>
                <w:sz w:val="19"/>
              </w:rPr>
              <w:t>Transportation Safety, Carrier Compliance, &amp; Fleet Operations</w:t>
            </w:r>
          </w:p>
        </w:tc>
      </w:tr>
      <w:tr>
        <w:tc>
          <w:tcPr>
            <w:tcW w:type="dxa" w:w="3168"/>
          </w:tcPr>
          <w:p>
            <w:r>
              <w:rPr>
                <w:b/>
                <w:sz w:val="19"/>
              </w:rPr>
              <w:t>Contractual Scope</w:t>
            </w:r>
          </w:p>
        </w:tc>
        <w:tc>
          <w:tcPr>
            <w:tcW w:type="dxa" w:w="6480"/>
          </w:tcPr>
          <w:p>
            <w:r>
              <w:rPr>
                <w:sz w:val="19"/>
              </w:rPr>
              <w:t>All Motor Carriers Operating Under Master Vendor Agreements (MVAs)</w:t>
            </w:r>
          </w:p>
        </w:tc>
      </w:tr>
      <w:tr>
        <w:tc>
          <w:tcPr>
            <w:tcW w:type="dxa" w:w="3168"/>
          </w:tcPr>
          <w:p>
            <w:r>
              <w:rPr>
                <w:b/>
                <w:sz w:val="19"/>
              </w:rPr>
              <w:t>Target SAP Tables / Fields</w:t>
            </w:r>
          </w:p>
        </w:tc>
        <w:tc>
          <w:tcPr>
            <w:tcW w:type="dxa" w:w="6480"/>
          </w:tcPr>
          <w:p>
            <w:r>
              <w:rPr>
                <w:sz w:val="19"/>
              </w:rPr>
              <w:t>LFA1 (LIFNR), VTTK (TKNUM, DPABF, DPTEN), LIKP (VBELN)</w:t>
            </w:r>
          </w:p>
        </w:tc>
      </w:tr>
    </w:tbl>
    <w:p/>
    <w:p>
      <w:pPr>
        <w:pStyle w:val="Heading1"/>
      </w:pPr>
      <w:r>
        <w:rPr>
          <w:color w:val="1E3A8A"/>
        </w:rPr>
        <w:t>2. Commercial Purpose &amp; Operational Context</w:t>
      </w:r>
    </w:p>
    <w:p>
      <w:r>
        <w:t>Enforces strict compliance with Federal Motor Carrier Safety Administration (FMCSA) 49 CFR Part 395 Hours of Service regulations while prohibiting carriers from improperly invoking driver duty exhaustion as an excuse for unmitigated delivery delays. Mandates rapid tractor-trailer breakdown recovery protocols to safeguard perishable clinical freight.</w:t>
      </w:r>
    </w:p>
    <w:p>
      <w:pPr>
        <w:pStyle w:val="Heading1"/>
      </w:pPr>
      <w:r>
        <w:rPr>
          <w:color w:val="1E3A8A"/>
        </w:rPr>
        <w:t>3. Key Definitions &amp; Operational Thresholds</w:t>
      </w:r>
    </w:p>
    <w:p>
      <w:r>
        <w:rPr>
          <w:b/>
        </w:rPr>
        <w:t xml:space="preserve">• FMCSA HOS Limits: </w:t>
      </w:r>
      <w:r>
        <w:t>Federal limits restricting property-carrying commercial drivers to 11 hours driving time following 10 consecutive hours off duty, within a 14-hour duty window.</w:t>
      </w:r>
    </w:p>
    <w:p>
      <w:r>
        <w:rPr>
          <w:b/>
        </w:rPr>
        <w:t xml:space="preserve">• Catastrophic Tractor Breakdown: </w:t>
      </w:r>
      <w:r>
        <w:t>Mechanical, electrical, or tire failure rendering the commercial power unit incapable of safe highway operation.</w:t>
      </w:r>
    </w:p>
    <w:p>
      <w:r>
        <w:rPr>
          <w:b/>
        </w:rPr>
        <w:t xml:space="preserve">• Relief Power Unit Mandate: </w:t>
      </w:r>
      <w:r>
        <w:t>Contractual obligation to dispatch a replacement tractor or team driver within four (4.0) hours of verified roadside breakdown.</w:t>
      </w:r>
    </w:p>
    <w:p>
      <w:pPr>
        <w:pStyle w:val="Heading1"/>
      </w:pPr>
      <w:r>
        <w:rPr>
          <w:color w:val="1E3A8A"/>
        </w:rPr>
        <w:t>4. Core Binding SLA / Policy Clauses</w:t>
      </w:r>
    </w:p>
    <w:p>
      <w:r>
        <w:rPr>
          <w:b/>
        </w:rPr>
        <w:t>4.1 Pre-Dispatch HOS Feasibility</w:t>
        <w:br/>
      </w:r>
      <w:r>
        <w:t>Carrier certifies that upon accepting tender, assigned drivers have sufficient legal duty hours available under FMCSA rules to complete the transit run within Promised Delivery Date bounds.</w:t>
      </w:r>
    </w:p>
    <w:p>
      <w:r>
        <w:rPr>
          <w:b/>
        </w:rPr>
        <w:t>4.2 HOS Invalidation as Force Majeure</w:t>
        <w:br/>
      </w:r>
      <w:r>
        <w:t>Normal driver clock exhaustion is an operational scheduling failure, NOT a Force Majeure event. Carriers are strictly barred from claiming Act of God immunity for driver hours violations.</w:t>
      </w:r>
    </w:p>
    <w:p>
      <w:r>
        <w:rPr>
          <w:b/>
        </w:rPr>
        <w:t>4.3 Four-Hour Breakdown Relief Window</w:t>
        <w:br/>
      </w:r>
      <w:r>
        <w:t>In the event of a highway breakdown, carrier must dispatch a secondary recovery tractor or certified roadside mobile mechanic within four (4.0) hours of the stoppage.</w:t>
      </w:r>
    </w:p>
    <w:p>
      <w:r>
        <w:rPr>
          <w:b/>
        </w:rPr>
        <w:t>4.4 Refrigerated Cargo Protection During Breakdown</w:t>
        <w:br/>
      </w:r>
      <w:r>
        <w:t>Driver must verify that trailer refrigeration auxiliary power unit (APU) remains continuously fueled and operational throughout the mechanical breakdown.</w:t>
      </w:r>
    </w:p>
    <w:p>
      <w:pPr>
        <w:pStyle w:val="Heading1"/>
      </w:pPr>
      <w:r>
        <w:rPr>
          <w:color w:val="1E3A8A"/>
        </w:rPr>
        <w:t>5. Financial Matrices, Penalties &amp; Liability Caps</w:t>
      </w:r>
    </w:p>
    <w:p>
      <w:r>
        <w:rPr>
          <w:b/>
        </w:rPr>
        <w:t xml:space="preserve">• Failure to Dispatch Relief Tractor: </w:t>
      </w:r>
      <w:r>
        <w:t>$300.00 USD non-mitigation penalty assessed if relief power unit is not in transit within 4 hours of breakdown.</w:t>
      </w:r>
    </w:p>
    <w:p>
      <w:r>
        <w:rPr>
          <w:b/>
        </w:rPr>
        <w:t xml:space="preserve">• Standard Delay Penalties Maintained: </w:t>
      </w:r>
      <w:r>
        <w:t>Full daily SLA penalties ($500/$300/$200) continue to accrue without interruption during mechanical breakdowns.</w:t>
      </w:r>
    </w:p>
    <w:p>
      <w:r>
        <w:rPr>
          <w:b/>
        </w:rPr>
        <w:t xml:space="preserve">• Thermal Loss Indemnity: </w:t>
      </w:r>
      <w:r>
        <w:t>100% product replacement liability if driver neglects reefer APU during breakdown leading to cargo spoilage.</w:t>
      </w:r>
    </w:p>
    <w:p>
      <w:pPr>
        <w:pStyle w:val="Heading1"/>
      </w:pPr>
      <w:r>
        <w:rPr>
          <w:color w:val="1E3A8A"/>
        </w:rPr>
        <w:t>6. Exceptional Clauses &amp; Relief Criteria</w:t>
      </w:r>
    </w:p>
    <w:p>
      <w:r>
        <w:rPr>
          <w:b/>
        </w:rPr>
        <w:t xml:space="preserve">• Unforeseeable Multi-Vehicle Catastrophic Highway Closure: </w:t>
      </w:r>
      <w:r>
        <w:t>Interstate highway blockages verified by State Highway Patrol that trap the truck in gridlock constitute valid temporary delay relief.</w:t>
      </w:r>
    </w:p>
    <w:p>
      <w:r>
        <w:rPr>
          <w:b/>
        </w:rPr>
        <w:t xml:space="preserve">• Severe Driver Medical Emergency: </w:t>
      </w:r>
      <w:r>
        <w:t>Documented acute driver hospitalization excuses delay penalty for a maximum 12-hour grace window while carrier routes replacement.</w:t>
      </w:r>
    </w:p>
    <w:p>
      <w:pPr>
        <w:pStyle w:val="Heading1"/>
      </w:pPr>
      <w:r>
        <w:rPr>
          <w:color w:val="1E3A8A"/>
        </w:rPr>
        <w:t>7. Autonomous AI Enforcement &amp; System of Record Actions</w:t>
      </w:r>
    </w:p>
    <w:p>
      <w:r>
        <w:rPr>
          <w:b/>
        </w:rPr>
        <w:t xml:space="preserve">• Telematics indicates zero velocity &gt; 2 hours outside rest stop: </w:t>
      </w:r>
      <w:r>
        <w:t>Copilot pings carrier dispatch via API demanding breakdown status and relief ETA.</w:t>
      </w:r>
    </w:p>
    <w:p>
      <w:r>
        <w:rPr>
          <w:b/>
        </w:rPr>
        <w:t xml:space="preserve">• No relief tractor dispatched after 4 hours: </w:t>
      </w:r>
      <w:r>
        <w:t>Autonomous $300 penalty logged; Copilot authorizes third-party heavy recovery tow at carrier expense.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