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EMERGENCY AIR FREIGHT EXPEDITED COST ALLOCATION &amp; RECOVERY AGREEMENT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MVA-ADD-2026-017-AIR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Enterprise Freight Operations, Carrier Contracting, &amp; Risk Management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Contractual Scope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All Commercial Linehaul Carriers &amp; Expedited Air Logistics Providers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LFA1 (LIFNR, VSART), VBAK (AUART, NETWR), LIKP (VBELN)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Establishes the governance parameters, authorization gates, and legal liability partitioning for upgrading delayed or threatened veterinary shipments from ground transportation (FTL/LTL) to priority commercial air freight (FedEx Priority, Delta Cargo, Southwest Cargo). Guarantees rapid patient stock-out mitigation while strictly protecting operating margins.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Expedited Air Mode Shift: </w:t>
      </w:r>
      <w:r>
        <w:t>The emergency transfer of consigned freight to commercial air cargo to bypass road corridor blockades, severe weather, or carrier transit failures.</w:t>
      </w:r>
    </w:p>
    <w:p>
      <w:r>
        <w:rPr>
          <w:b/>
        </w:rPr>
        <w:t xml:space="preserve">• Expedited Cost Differential: </w:t>
      </w:r>
      <w:r>
        <w:t>The financial difference between the premium air freight invoice and the baseline contractual ground transport rate.</w:t>
      </w:r>
    </w:p>
    <w:p>
      <w:r>
        <w:rPr>
          <w:b/>
        </w:rPr>
        <w:t xml:space="preserve">• Emergency Policy Cap: </w:t>
      </w:r>
      <w:r>
        <w:t>A strict contractual expenditure ceiling of $1,000.00 USD per critical veterinary clinical order.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Carrier-At-Fault Liability Allocation</w:t>
        <w:br/>
      </w:r>
      <w:r>
        <w:t>When an air freight upgrade is necessitated by carrier mechanical breakdown, missed origin tender, or unexcused driver delay, the carrier is legally liable for 100% of the air differential up to the $1,000.00 cap.</w:t>
      </w:r>
    </w:p>
    <w:p>
      <w:r>
        <w:rPr>
          <w:b/>
        </w:rPr>
        <w:t>4.2 Shipper-Caused Delay Allocation</w:t>
        <w:br/>
      </w:r>
      <w:r>
        <w:t>When air upgrades stem from warehouse stock-outs or plant loading delays, the enterprise absorbs 100% of the differential.</w:t>
      </w:r>
    </w:p>
    <w:p>
      <w:r>
        <w:rPr>
          <w:b/>
        </w:rPr>
        <w:t>4.3 Verified Force Majeure Cost Sharing</w:t>
        <w:br/>
      </w:r>
      <w:r>
        <w:t>When air freight is deployed to navigate certified meteorological disasters (Level 4/5) to save patient lives, the cost is split 50/50 between carrier and enterprise emergency freight reserve.</w:t>
      </w:r>
    </w:p>
    <w:p>
      <w:r>
        <w:rPr>
          <w:b/>
        </w:rPr>
        <w:t>4.4 Authorization Threshold</w:t>
        <w:br/>
      </w:r>
      <w:r>
        <w:t>Autonomous AI authorization is limited to $500.00 USD. Expedited air upgrades between $500.01 and $1,000.00 require one-click Supply Chain Operations Manager digital approval.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Emergency Air Freight Cap: </w:t>
      </w:r>
      <w:r>
        <w:t>$1,000.00 USD maximum recovery per sales order (VBAK-VBELN).</w:t>
      </w:r>
    </w:p>
    <w:p>
      <w:r>
        <w:rPr>
          <w:b/>
        </w:rPr>
        <w:t xml:space="preserve">• Carrier Chargeback Mechanism: </w:t>
      </w:r>
      <w:r>
        <w:t>Direct automatic deduction from outstanding freight payables via SAP FI/CO credit memo within 5 business days.</w:t>
      </w:r>
    </w:p>
    <w:p>
      <w:r>
        <w:rPr>
          <w:b/>
        </w:rPr>
        <w:t xml:space="preserve">• Air Bill Audit Fee: </w:t>
      </w:r>
      <w:r>
        <w:t>10% administrative audit fee credited to enterprise if carrier disputes verified breakdown liability.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FAA Ground Stop / Air Traffic Embargo: </w:t>
      </w:r>
      <w:r>
        <w:t>If commercial air cargo is grounded by federal aviation safety mandates, liability for air upgrade failure is fully excused.</w:t>
      </w:r>
    </w:p>
    <w:p>
      <w:r>
        <w:rPr>
          <w:b/>
        </w:rPr>
        <w:t xml:space="preserve">• Non-Perishable Commercial Freight: </w:t>
      </w:r>
      <w:r>
        <w:t>Air freight upgrades are strictly barred for dry pet nutrition (PET_DRY) unless pre-authorized in writing by Customer Vice President.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QualityMitigation agent identifies specialty diet stock-out risk &gt; 24 hours: </w:t>
      </w:r>
      <w:r>
        <w:t>Copilot pings air freight broker API, books priority space under $1,000 cap, and records liability code in SAP LIKP.</w:t>
      </w:r>
    </w:p>
    <w:p>
      <w:r>
        <w:rPr>
          <w:b/>
        </w:rPr>
        <w:t xml:space="preserve">• Air differential invoice received: </w:t>
      </w:r>
      <w:r>
        <w:t>System matches air bill to original ground shipment VBELN and executes automated chargeback to at-fault carrier.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