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Bhubaneswar Transportation Disruption Intelligence &amp; Routing Protocol</w:t>
      </w:r>
    </w:p>
    <w:p>
      <w:r>
        <w:t>Report Generated: 2026-08-31 20:08:19</w:t>
      </w:r>
    </w:p>
    <w:p>
      <w:r>
        <w:t>Monitored Geographic Hub: Bhubaneswar Logistics Cluster</w:t>
      </w:r>
    </w:p>
    <w:p>
      <w:r>
        <w:t>Total Disruption Events Analyzed: 3</w:t>
      </w:r>
    </w:p>
    <w:p>
      <w:pPr>
        <w:pStyle w:val="Heading1"/>
      </w:pPr>
      <w:r>
        <w:t>1. Executive Regional Disruption Assessment</w:t>
      </w:r>
    </w:p>
    <w:p>
      <w:r>
        <w:t>This intelligence brief evaluates active and historical transportation strikes, roadway blockades, and labor disruptions impacting freight transit in the Bhubaneswar commercial logistics corridor. Of the 3 analyzed disruption records, 0 are classified as HIGH severity (e.g., indefinite strikes, complete bandhs) and 0 as MEDIUM severity. Dominant disruption modalities: Taxi (2), Bus (1).</w:t>
      </w:r>
    </w:p>
    <w:p>
      <w:pPr>
        <w:pStyle w:val="Heading1"/>
      </w:pPr>
      <w:r>
        <w:t>2. Critical Corridors &amp; Choke Points</w:t>
      </w:r>
    </w:p>
    <w:p>
      <w:r>
        <w:t>Primary Inbound/Outbound Transit Routes: Bhubaneswar primary national highway entry points and regional transshipment yards.</w:t>
      </w:r>
    </w:p>
    <w:p>
      <w:r>
        <w:t>Impact Profile: Labor strikes and bandhs in this cluster directly impede primary FTL linehauls and disrupt secondary final-mile dispatch to veterinary clinics and regional animal hospitals.</w:t>
      </w:r>
    </w:p>
    <w:p>
      <w:pPr>
        <w:pStyle w:val="Heading1"/>
      </w:pPr>
      <w:r>
        <w:t>3. Chronological Disruption Incidents &amp; Intelligence Registry</w:t>
      </w:r>
    </w:p>
    <w:p>
      <w:r>
        <w:rPr>
          <w:b/>
        </w:rPr>
        <w:t>Incident #1: Bhubaneswar Taxi Drivers Protest: 80 Arrested, 13 Cops Injured In Violence - NDTV</w:t>
        <w:br/>
      </w:r>
      <w:r>
        <w:t>• Published Date: 2026-08-20 | Source: NDTV</w:t>
        <w:br/>
      </w:r>
      <w:r>
        <w:t>• Modality: Taxi | Severity: LOW</w:t>
        <w:br/>
      </w:r>
    </w:p>
    <w:p>
      <w:r>
        <w:rPr>
          <w:b/>
        </w:rPr>
        <w:t>Incident #2: Bhubaneswar Cab Drivers’ Protest Turns Violent, Over 30 Detained - Outlook India</w:t>
        <w:br/>
      </w:r>
      <w:r>
        <w:t>• Published Date: 2026-08-19 | Source: Outlook India</w:t>
        <w:br/>
      </w:r>
      <w:r>
        <w:t>• Modality: Taxi | Severity: LOW</w:t>
        <w:br/>
      </w:r>
    </w:p>
    <w:p>
      <w:r>
        <w:rPr>
          <w:b/>
        </w:rPr>
        <w:t>Incident #3: Protesters hurl stones at police, vandalise buses as app cab, bike strike turns violent in Bhubaneswar - The Times of India</w:t>
        <w:br/>
      </w:r>
      <w:r>
        <w:t>• Published Date: 2026-08-19 | Source: The Times of India</w:t>
        <w:br/>
      </w:r>
      <w:r>
        <w:t>• Modality: Bus | Severity: LOW</w:t>
        <w:br/>
      </w:r>
    </w:p>
    <w:p>
      <w:pPr>
        <w:pStyle w:val="Heading1"/>
      </w:pPr>
      <w:r>
        <w:t>4. Autonomous Copilot Operational &amp; Legal Rules</w:t>
      </w:r>
    </w:p>
    <w:p>
      <w:r>
        <w:t>When active transit strikes or civil disruptions are detected in Bhubaneswar, the O2C Copilot applies the following deterministic decision rules:</w:t>
      </w:r>
    </w:p>
    <w:p>
      <w:r>
        <w:t>• Force Majeure Adjudication (Clause 8.4): If a government-sanctioned bandh or total union road blockade in Bhubaneswar delays transit by &gt;12 hours, the carrier delay SLA penalty ($500/day) is waived upon submission of verified e-way bill telematics or police traffic advisory.</w:t>
      </w:r>
    </w:p>
    <w:p>
      <w:r>
        <w:t>• Dynamic Transit Buffer: For any order scheduled to pass through Bhubaneswar with active strike news, automatically inject a +12.0 to +24.0 hour safety buffer into the predicted ETA.</w:t>
      </w:r>
    </w:p>
    <w:p>
      <w:r>
        <w:t>• Mode Shift Escalation: For life-critical veterinary diets and urgent pharmaceuticals routed through Bhubaneswar with strike duration &gt;24h, authorize emergency intermodal rail shift or $1,000 Air Freight replacement per Medical Stock-Out Policy 2024-04.</w:t>
      </w:r>
    </w:p>
    <w:p>
      <w:r>
        <w:t>• Receiving Window Compliance: If transit delays push delivery past clinic receiving hours (after 17:00), automatically reschedule delivery to 09:00 next business morning and trigger carrier redelivery fee waiver ($150 cap).</w:t>
      </w:r>
    </w:p>
    <w:p>
      <w:r>
        <w:t>• Proactive Stakeholder Notification: Send automated Microsoft Teams escalation card to Regional Logistics Director when order financial risk exceeds $500 threshold.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