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SEVERE WEATHER PROTOCOL &amp; FREIGHT ADJUDICATION MATRIX</w:t>
      </w:r>
    </w:p>
    <w:p>
      <w:r>
        <w:t>Monitored Logistics Hub: Chennai Commercial Logistics Corridor</w:t>
        <w:br/>
        <w:t>Generated: 2026-09-02 22:53:44 | Total Telemetry Events Analyzed: 2</w:t>
        <w:br/>
        <w:t>Observed Telemetry Extremes: Peak Temp: 35.0°C | Peak Wind: 16.1 m/s | Peak Rain: 0.0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(16.1 m/s) recorded in Chennai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NH-16 (Chennai-Kolkata Corridor)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Coastal monsoon flooding &amp; road submergence</w:t>
            </w:r>
          </w:p>
        </w:tc>
        <w:tc>
          <w:tcPr>
            <w:tcW w:type="dxa" w:w="2160"/>
          </w:tcPr>
          <w:p>
            <w:r>
              <w:t>Divert linehauls to elevated bypass; enforce SAP QA Hold Stock 'S'.</w:t>
            </w:r>
          </w:p>
        </w:tc>
      </w:tr>
      <w:tr>
        <w:tc>
          <w:tcPr>
            <w:tcW w:type="dxa" w:w="2160"/>
          </w:tcPr>
          <w:p>
            <w:r>
              <w:t>Sriperumbudur Industrial Hub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Heavy commercial container traffic</w:t>
            </w:r>
          </w:p>
        </w:tc>
        <w:tc>
          <w:tcPr>
            <w:tcW w:type="dxa" w:w="2160"/>
          </w:tcPr>
          <w:p>
            <w:r>
              <w:t>Schedule dispatch during off-peak windows (22:00-06:00).</w:t>
            </w:r>
          </w:p>
        </w:tc>
      </w:tr>
      <w:tr>
        <w:tc>
          <w:tcPr>
            <w:tcW w:type="dxa" w:w="2160"/>
          </w:tcPr>
          <w:p>
            <w:r>
              <w:t>Chennai Port Trust Terminal Gates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Coastal high humidity &amp; container salt spray</w:t>
            </w:r>
          </w:p>
        </w:tc>
        <w:tc>
          <w:tcPr>
            <w:tcW w:type="dxa" w:w="2160"/>
          </w:tcPr>
          <w:p>
            <w:r>
              <w:t>Mandatory desiccants inside shipping containers.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[RULE-W-CHE-01]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[RULE-W-CHE-02]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[RULE-W-CHE-03]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[RULE-W-CHE-04]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Chennai against alert thresholds (Temp &gt;40°C, Wind &gt;15m/s, Rain &gt;20mm/h).</w:t>
      </w:r>
    </w:p>
    <w:p>
      <w:r>
        <w:t>[x] Step 2: Cross-reference active SAP linehauls (sap_vttk) entering Chennai and check carrier equipment profile.</w:t>
      </w:r>
    </w:p>
    <w:p>
      <w:r>
        <w:t>[x] Step 3: Apply [RULE-W-CHE-02]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