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Bandh Disruption Pattern Analysis</w:t>
      </w:r>
    </w:p>
    <w:p>
      <w:r>
        <w:t>Total Bandh Incidents: 68</w:t>
      </w:r>
    </w:p>
    <w:p>
      <w:pPr>
        <w:pStyle w:val="Heading2"/>
      </w:pPr>
      <w:r>
        <w:t>Most Affected Cities</w:t>
      </w:r>
    </w:p>
    <w:p>
      <w:pPr>
        <w:pStyle w:val="ListBullet"/>
      </w:pPr>
      <w:r>
        <w:t>National/Unknown: 17 incidents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