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Railway Disruption Pattern Analysis</w:t>
      </w:r>
    </w:p>
    <w:p>
      <w:r>
        <w:t>Total Railway Incidents: 35</w:t>
      </w:r>
    </w:p>
    <w:p>
      <w:pPr>
        <w:pStyle w:val="Heading2"/>
      </w:pPr>
      <w:r>
        <w:t>Most Affected Cities</w:t>
      </w:r>
    </w:p>
    <w:p>
      <w:pPr>
        <w:pStyle w:val="ListBullet"/>
      </w:pPr>
      <w:r>
        <w:t>National/Unknown: 10 incidents</w:t>
      </w:r>
    </w:p>
    <w:p>
      <w:pPr>
        <w:pStyle w:val="ListBullet"/>
      </w:pPr>
      <w:r>
        <w:t>Mumbai: 5 incidents</w:t>
      </w:r>
    </w:p>
    <w:p>
      <w:pPr>
        <w:pStyle w:val="ListBullet"/>
      </w:pPr>
      <w:r>
        <w:t>Pune: 2 incidents</w:t>
      </w:r>
    </w:p>
    <w:p>
      <w:pPr>
        <w:pStyle w:val="ListBullet"/>
      </w:pPr>
      <w:r>
        <w:t>Lucknow: 2 incidents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