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72BFDA6" wp14:paraId="0D43943B" wp14:textId="17389A9A">
      <w:pPr>
        <w:pStyle w:val="Heading1"/>
        <w:shd w:val="clear" w:color="auto" w:fill="FDFCFC"/>
        <w:spacing w:before="360" w:beforeAutospacing="off" w:after="24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3"/>
          <w:szCs w:val="33"/>
          <w:lang w:val="en-US"/>
        </w:rPr>
        <w:t>SERVICE LEVEL AGREEMENT (SLA) &amp; STANDARD OPERATING PROCEDURE</w:t>
      </w:r>
    </w:p>
    <w:p xmlns:wp14="http://schemas.microsoft.com/office/word/2010/wordml" w:rsidP="672BFDA6" wp14:paraId="67D83D6B" wp14:textId="16841083">
      <w:pPr>
        <w:pStyle w:val="Heading2"/>
        <w:shd w:val="clear" w:color="auto" w:fill="FDFCFC"/>
        <w:spacing w:before="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1. Document Header</w:t>
      </w:r>
    </w:p>
    <w:p xmlns:wp14="http://schemas.microsoft.com/office/word/2010/wordml" w:rsidP="672BFDA6" wp14:paraId="17E7B0EC" wp14:textId="793B4119">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Document Title: Carrier-At-Fault Delay &amp; Liability Passthrough Protocol</w:t>
      </w:r>
    </w:p>
    <w:p xmlns:wp14="http://schemas.microsoft.com/office/word/2010/wordml" w:rsidP="672BFDA6" wp14:paraId="41E865B3" wp14:textId="00810CBF">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Document ID: SLA-LOG-VNS-0025</w:t>
      </w:r>
    </w:p>
    <w:p xmlns:wp14="http://schemas.microsoft.com/office/word/2010/wordml" w:rsidP="672BFDA6" wp14:paraId="4D4FED29" wp14:textId="4202543A">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Effective Date: August 11, 2026</w:t>
      </w:r>
    </w:p>
    <w:p xmlns:wp14="http://schemas.microsoft.com/office/word/2010/wordml" w:rsidP="672BFDA6" wp14:paraId="743AAF50" wp14:textId="7328E4C4">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Controlling Department: Global Supply Chain, Transportation Management, &amp; Accounts Payable</w:t>
      </w:r>
    </w:p>
    <w:p xmlns:wp14="http://schemas.microsoft.com/office/word/2010/wordml" w:rsidP="672BFDA6" wp14:paraId="465DCA47" wp14:textId="4FEB1567">
      <w:pPr>
        <w:pStyle w:val="ListParagraph"/>
        <w:numPr>
          <w:ilvl w:val="0"/>
          <w:numId w:val="1"/>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Review Cycle: Annual</w:t>
      </w:r>
    </w:p>
    <w:p xmlns:wp14="http://schemas.microsoft.com/office/word/2010/wordml" w:rsidP="672BFDA6" wp14:paraId="3A0304C4" wp14:textId="07FD4106">
      <w:pPr>
        <w:pStyle w:val="Heading2"/>
        <w:shd w:val="clear" w:color="auto" w:fill="FDFCFC"/>
        <w:spacing w:before="36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2. Preamble/Purpose</w:t>
      </w:r>
    </w:p>
    <w:p xmlns:wp14="http://schemas.microsoft.com/office/word/2010/wordml" w:rsidP="672BFDA6" wp14:paraId="5ADC6415" wp14:textId="31146730">
      <w:pPr>
        <w:shd w:val="clear" w:color="auto" w:fill="FDFCFC"/>
        <w:spacing w:before="0" w:beforeAutospacing="off" w:after="0" w:afterAutospacing="off"/>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This Service Level Agreement ("SLA" or "Agreement") codifies the absolute operational baseline required of our Third-Party Logistics ("3PL") Carriers ("Carrier"). The provision of mechanically sound equipment and adequate, legally compliant driver labor are fundamental, non-negotiable tenets of the transportation contract. Deliveries of medical-grade veterinary nutrition delayed by preventative mechanical failures, Hours of Service (HOS) mismanagement, or driver abandonment pose severe risks to clinic patients and Enterprise revenues. This document establishes the legal mechanism for a 100% financial liability passthrough, ensuring that any downstream penalties levied against the Enterprise by receiving clinics due to a Carrier-At-Fault Delay are absorbed entirely by the negligent Carrier via automated invoice chargebacks.</w:t>
      </w:r>
    </w:p>
    <w:p xmlns:wp14="http://schemas.microsoft.com/office/word/2010/wordml" w:rsidP="672BFDA6" wp14:paraId="735F609B" wp14:textId="6C05E822">
      <w:pPr>
        <w:pStyle w:val="Heading2"/>
        <w:shd w:val="clear" w:color="auto" w:fill="FDFCFC"/>
        <w:spacing w:before="36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3. Key Definitions</w:t>
      </w:r>
    </w:p>
    <w:p xmlns:wp14="http://schemas.microsoft.com/office/word/2010/wordml" w:rsidP="672BFDA6" wp14:paraId="623F3BAA" wp14:textId="4872281A">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Carrier-At-Fault Delay (CAFD): Any transit delay resulting in a missed Promised Delivery Date (PDD) caused by Carrier internal operational failures. This explicitly includes tractor/trailer breakdowns, lack of driver availability, dispatch errors, or HOS violations.</w:t>
      </w:r>
    </w:p>
    <w:p xmlns:wp14="http://schemas.microsoft.com/office/word/2010/wordml" w:rsidP="672BFDA6" wp14:paraId="40BC2836" wp14:textId="16E3838F">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Liability Passthrough: The legal and financial mechanism by which the Enterprise transfers the exact monetary damage incurred from clinic-imposed SLA penalties directly to the at-fault Carrier.</w:t>
      </w:r>
    </w:p>
    <w:p xmlns:wp14="http://schemas.microsoft.com/office/word/2010/wordml" w:rsidP="672BFDA6" wp14:paraId="5210083C" wp14:textId="4FD680C8">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Clinic SLA Penalty: The predetermined financial penalty exacted by the receiving clinic (e.g., Platinum Tier $500/day flat fee, Gold Tier 5% daily variable fee, or Expedited Rush Order discounts) housed in SAP pricing condition records.</w:t>
      </w:r>
    </w:p>
    <w:p xmlns:wp14="http://schemas.microsoft.com/office/word/2010/wordml" w:rsidP="672BFDA6" wp14:paraId="7A0A2AF8" wp14:textId="33C392EE">
      <w:pPr>
        <w:pStyle w:val="ListParagraph"/>
        <w:numPr>
          <w:ilvl w:val="0"/>
          <w:numId w:val="2"/>
        </w:numPr>
        <w:shd w:val="clear" w:color="auto" w:fill="FDFCFC"/>
        <w:spacing w:before="0" w:beforeAutospacing="off" w:after="0" w:afterAutospacing="off" w:line="360" w:lineRule="auto"/>
        <w:rPr>
          <w:rFonts w:ascii="Times New Roman" w:hAnsi="Times New Roman" w:eastAsia="Times New Roman" w:cs="Times New Roman"/>
          <w:b w:val="0"/>
          <w:bCs w:val="0"/>
          <w:i w:val="0"/>
          <w:iCs w:val="0"/>
          <w:caps w:val="0"/>
          <w:smallCaps w:val="0"/>
          <w:noProof w:val="0"/>
          <w:color w:val="1F1F1F"/>
          <w:sz w:val="24"/>
          <w:szCs w:val="24"/>
          <w:lang w:val="en-US"/>
        </w:rPr>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Freight Settlement Invoice: The Carrier's consolidated monthly or per-shipment billing submitted to the Enterprise via SAP (MIRO module).</w:t>
      </w:r>
    </w:p>
    <w:p xmlns:wp14="http://schemas.microsoft.com/office/word/2010/wordml" w:rsidP="672BFDA6" wp14:paraId="0540C242" wp14:textId="5CE4A794">
      <w:pPr>
        <w:pStyle w:val="Heading2"/>
        <w:shd w:val="clear" w:color="auto" w:fill="FDFCFC"/>
        <w:spacing w:before="36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4. Core Policy/SLA Clauses</w:t>
      </w:r>
    </w:p>
    <w:p xmlns:wp14="http://schemas.microsoft.com/office/word/2010/wordml" w:rsidP="672BFDA6" wp14:paraId="7E233448" wp14:textId="548AE47E">
      <w:pPr>
        <w:shd w:val="clear" w:color="auto" w:fill="FDFCFC"/>
        <w:spacing w:before="0" w:beforeAutospacing="off" w:after="0" w:afterAutospacing="off" w:line="360" w:lineRule="auto"/>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4.1. Absolute Operational Readiness: The Carrier explicitly warrants that all equipment utilized for Enterprise freight is rigorously maintained, and that sufficient driver labor is allocated and dispatched to execute the transit within the SAP-generated transit window (VBAK/VTTK).</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4.2. Mandatory Incident Reporting: In the event of a mechanical breakdown or driver shortage while under a dispatched load, the Carrier must transmit an EDI 214 status update indicating "Equipment Breakdown" or "Delay - Labor" within two (2) hours of the incident's occurrence.</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4.3. Enterprise Hold Harmless: The Enterprise shall be held completely harmless for any CAFD. The Carrier shall indemnify the Enterprise against all loss of goodwill, product spoilage, and clinic-levied financial penalties resulting from the Carrier's internal operational failures.</w:t>
      </w:r>
    </w:p>
    <w:p xmlns:wp14="http://schemas.microsoft.com/office/word/2010/wordml" w:rsidP="672BFDA6" wp14:paraId="3DD54274" wp14:textId="5CC8588C">
      <w:pPr>
        <w:pStyle w:val="Heading2"/>
        <w:shd w:val="clear" w:color="auto" w:fill="FDFCFC"/>
        <w:spacing w:before="36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5. Financial Matrices &amp; Penalties</w:t>
      </w:r>
    </w:p>
    <w:p xmlns:wp14="http://schemas.microsoft.com/office/word/2010/wordml" w:rsidP="672BFDA6" wp14:paraId="26754502" wp14:textId="31EBEBE5">
      <w:pPr>
        <w:shd w:val="clear" w:color="auto" w:fill="FDFCFC"/>
        <w:spacing w:before="0" w:beforeAutospacing="off" w:after="0" w:afterAutospacing="off" w:line="360" w:lineRule="auto"/>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5.1. 100% Liability Passthrough: In the event of a CAFD, the Carrier assumes 100% financial liability for all downstream penalties levied by the destination clinic. If a CAFD causes a Platinum clinic delivery to incur a $1,500 penalty (3 days late), the Enterprise will deduct exactly $1,500 from the Carrier.</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5.2. Chargeback Execution: The Enterprise is not required to submit separate invoices to the Carrier to collect these penalties. The total sum of the Liability Passthrough will be autonomously executed as a direct debit/chargeback against the Carrier’s next scheduled Freight Settlement Invoice.</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5.3. Administrative Incident Fee: In addition to the direct passthrough of clinic penalties, the Carrier shall be assessed a flat $150.00 USD Administrative Processing Fee per CAFD incident to compensate the Enterprise for the internal labor required to manage the disrupted supply chain and triage clinical fallout.</w:t>
      </w:r>
    </w:p>
    <w:p xmlns:wp14="http://schemas.microsoft.com/office/word/2010/wordml" w:rsidP="672BFDA6" wp14:paraId="43CD3A7C" wp14:textId="0BD87B86">
      <w:pPr>
        <w:pStyle w:val="Heading2"/>
        <w:shd w:val="clear" w:color="auto" w:fill="FDFCFC"/>
        <w:spacing w:before="36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6. AI &amp; Orchestration Mandates</w:t>
      </w:r>
    </w:p>
    <w:p xmlns:wp14="http://schemas.microsoft.com/office/word/2010/wordml" w:rsidP="672BFDA6" wp14:paraId="25910D0C" wp14:textId="25167179">
      <w:pPr>
        <w:shd w:val="clear" w:color="auto" w:fill="FDFCFC"/>
        <w:spacing w:before="0" w:beforeAutospacing="off" w:after="0" w:afterAutospacing="off" w:line="360" w:lineRule="auto"/>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6.1. Autonomous Telematics Anomaly Detection: The AI Logistics Copilot will continuously monitor Carrier GPS telemetry (FourKites/project44). If the LangGraph orchestration nodes detect a tractor remaining stationary on a non-authorized route for greater than four (4) hours without an accompanying EDI delay status, the Copilot flags a suspected CAFD.</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6.2. Environmental Cross-Validation: Upon detecting a stationary asset or missed dispatch, the Copilot’s XGBoost engine will immediately cross-reference the geospatial coordinates with the OpenWeather API and DOT traffic feeds. If no Level 4/5 weather event or catastrophic traffic incident is present, the Copilot’s LLM reasoning autonomously classifies the event as an indisputable Carrier-At-Fault Delay.</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6.3. Automated SAP Debit Generation: Once classified as a CAFD and upon delivery failure at the PDD, the Copilot will automatically interface with SAP Accounts Payable (FI-AP). It will generate a Debit Note against the Carrier’s Vendor Master Record (LFA1) equal to the calculated Clinic SLA Penalty plus the $150 Administrative Fee.</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6.4. Settlement Blocking: The Copilot will place an absolute payment block on the specific SAP Shipment Document (VTTK) until the calculated chargeback is fully absorbed by the Carrier's ledger, ensuring zero manual accounting intervention is required to recover the funds.</w:t>
      </w:r>
    </w:p>
    <w:p xmlns:wp14="http://schemas.microsoft.com/office/word/2010/wordml" w:rsidP="672BFDA6" wp14:paraId="281BD6CA" wp14:textId="4DDA3E1E">
      <w:pPr>
        <w:pStyle w:val="Heading2"/>
        <w:shd w:val="clear" w:color="auto" w:fill="FDFCFC"/>
        <w:spacing w:before="360" w:beforeAutospacing="off" w:after="180" w:afterAutospacing="off" w:line="420" w:lineRule="auto"/>
      </w:pPr>
      <w:r w:rsidRPr="672BFDA6" w:rsidR="64575BBD">
        <w:rPr>
          <w:rFonts w:ascii="Times New Roman" w:hAnsi="Times New Roman" w:eastAsia="Times New Roman" w:cs="Times New Roman"/>
          <w:b w:val="1"/>
          <w:bCs w:val="1"/>
          <w:i w:val="0"/>
          <w:iCs w:val="0"/>
          <w:caps w:val="0"/>
          <w:smallCaps w:val="0"/>
          <w:noProof w:val="0"/>
          <w:color w:val="1F1F1F"/>
          <w:sz w:val="30"/>
          <w:szCs w:val="30"/>
          <w:lang w:val="en-US"/>
        </w:rPr>
        <w:t>7. Force Majeure / Exceptions</w:t>
      </w:r>
    </w:p>
    <w:p xmlns:wp14="http://schemas.microsoft.com/office/word/2010/wordml" w:rsidP="672BFDA6" wp14:paraId="4AEBFDB5" wp14:textId="3109D8AE">
      <w:pPr>
        <w:shd w:val="clear" w:color="auto" w:fill="FDFCFC"/>
        <w:spacing w:before="0" w:beforeAutospacing="off" w:after="0" w:afterAutospacing="off" w:line="360" w:lineRule="auto"/>
      </w:pP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7.1. Explicit Exclusions from Force Majeure: Under no circumstances shall driver shortages, labor strikes (internal to the Carrier), routine mechanical breakdowns, or equipment unavailability be classified as Force Majeure or Acts of God. These are strictly recognized as preventable, Carrier-controlled operational failures.</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7.2. Non-Preventable Third-Party Accidents: The sole exception to the CAFD Liability Passthrough is a mechanical breakdown directly resulting from a non-preventable third-party collision (e.g., the Carrier's tractor is struck by another vehicle).</w:t>
      </w:r>
      <w:r>
        <w:br/>
      </w:r>
      <w:r w:rsidRPr="672BFDA6" w:rsidR="64575BBD">
        <w:rPr>
          <w:rFonts w:ascii="Times New Roman" w:hAnsi="Times New Roman" w:eastAsia="Times New Roman" w:cs="Times New Roman"/>
          <w:b w:val="0"/>
          <w:bCs w:val="0"/>
          <w:i w:val="0"/>
          <w:iCs w:val="0"/>
          <w:caps w:val="0"/>
          <w:smallCaps w:val="0"/>
          <w:noProof w:val="0"/>
          <w:color w:val="1F1F1F"/>
          <w:sz w:val="24"/>
          <w:szCs w:val="24"/>
          <w:lang w:val="en-US"/>
        </w:rPr>
        <w:t>7.3. Copilot Validation of Accidents: To claim this exception, the Carrier must upload the official police report and dashcam telemetry within 24 hours. The AI Logistics Copilot will use OCR and LLM natural language processing to ingest the police report. If the report legally faults the third-party motorist, the Copilot will waive the $150 Administrative Fee and the Liability Passthrough, shifting the delay classification to an unavoidable transit disruption.</w:t>
      </w:r>
    </w:p>
    <w:p xmlns:wp14="http://schemas.microsoft.com/office/word/2010/wordml" wp14:paraId="2C078E63" wp14:textId="06E0AB5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2bef5d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52ca5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138B456"/>
    <w:rsid w:val="4138B456"/>
    <w:rsid w:val="64575BBD"/>
    <w:rsid w:val="672BFD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D7EA"/>
  <w15:chartTrackingRefBased/>
  <w15:docId w15:val="{A28BC48A-23D0-471F-A23E-03B9DA88DE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72BFDA6"/>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72BFDA6"/>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72BFDA6"/>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5df9a46566174ea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2026-08-11T11:02:51.0282579Z</dcterms:created>
  <dcterms:modified xsi:type="dcterms:W3CDTF">2026-08-11T11:03:57.1166326Z</dcterms:modified>
  <dc:creator>SATHISH S</dc:creator>
  <lastModifiedBy>SATHISH S</lastModifiedBy>
</coreProperties>
</file>