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6F014A" wp14:paraId="35FB086E" wp14:textId="542439B6">
      <w:pPr>
        <w:pStyle w:val="Heading1"/>
        <w:shd w:val="clear" w:color="auto" w:fill="FDFCFC"/>
        <w:spacing w:before="360" w:beforeAutospacing="off" w:after="24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0E6F014A" wp14:paraId="44925838" wp14:textId="2F847691">
      <w:pPr>
        <w:pStyle w:val="Heading2"/>
        <w:shd w:val="clear" w:color="auto" w:fill="FDFCFC"/>
        <w:spacing w:before="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0E6F014A" wp14:paraId="01B5B80E" wp14:textId="6F4AE8D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Document Title: Extreme Delay Cancellation &amp; Revenue Forfeiture Protocol</w:t>
      </w:r>
    </w:p>
    <w:p xmlns:wp14="http://schemas.microsoft.com/office/word/2010/wordml" w:rsidP="0E6F014A" wp14:paraId="6DC1048E" wp14:textId="02CDE92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Document ID: SLA-LOG-VNS-0017</w:t>
      </w:r>
    </w:p>
    <w:p xmlns:wp14="http://schemas.microsoft.com/office/word/2010/wordml" w:rsidP="0E6F014A" wp14:paraId="4E9E6610" wp14:textId="7861303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0E6F014A" wp14:paraId="74D1407B" wp14:textId="64233FF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Legal Compliance, &amp; Reverse Logistics</w:t>
      </w:r>
    </w:p>
    <w:p xmlns:wp14="http://schemas.microsoft.com/office/word/2010/wordml" w:rsidP="0E6F014A" wp14:paraId="6748E96E" wp14:textId="42BF897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0E6F014A" wp14:paraId="0401132D" wp14:textId="57F1C55E">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0E6F014A" wp14:paraId="6132D438" wp14:textId="5B8C6CA9">
      <w:pPr>
        <w:shd w:val="clear" w:color="auto" w:fill="FDFCFC"/>
        <w:spacing w:before="0" w:beforeAutospacing="off" w:after="0" w:afterAutospacing="off"/>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defines the absolute maximum transit tolerance for standard veterinary nutrition shipments and outlines the severe operational and financial consequences of an "Extreme Delay." Because veterinary clinics rely on predictable inventory cycles to maintain continuity of care for animal patients, shipments delayed beyond a critical threshold are rendered obsolete, forcing clinics to procure alternative medical diets. This document establishes the consignee's unilateral right to cancel severely delayed orders and legally shifts the burden of the resulting total revenue loss and reverse logistics costs entirely onto the negligent Third-Party Logistics ("3PL") Carrier.</w:t>
      </w:r>
    </w:p>
    <w:p xmlns:wp14="http://schemas.microsoft.com/office/word/2010/wordml" w:rsidP="0E6F014A" wp14:paraId="177D4EBB" wp14:textId="2C8A4FC1">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0E6F014A" wp14:paraId="3203AC7F" wp14:textId="60B1043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Promised Delivery Date (PDD): The baseline delivery commitment generated at order entry, housed within the SAP ERP system (VBAK/LIKP tables).</w:t>
      </w:r>
    </w:p>
    <w:p xmlns:wp14="http://schemas.microsoft.com/office/word/2010/wordml" w:rsidP="0E6F014A" wp14:paraId="144B38C7" wp14:textId="0B04F04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Extreme Delay Event: Any transit lifecycle wherein a shipment fails to reach the final consignee by 23:59 local time on the seventh (7th) calendar day strictly following the original PDD.</w:t>
      </w:r>
    </w:p>
    <w:p xmlns:wp14="http://schemas.microsoft.com/office/word/2010/wordml" w:rsidP="0E6F014A" wp14:paraId="4070BB5C" wp14:textId="24FBA0F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Order Cancellation Right: The contractually protected right of the veterinary clinic to outright reject and cancel a delayed shipment without penalty, restocking fees, or prior authorization.</w:t>
      </w:r>
    </w:p>
    <w:p xmlns:wp14="http://schemas.microsoft.com/office/word/2010/wordml" w:rsidP="0E6F014A" wp14:paraId="74D1188E" wp14:textId="27D940E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Reverse Logistics (RMA): The physical return of rejected freight to the originating Enterprise Distribution Center, managed via a Return Merchandise Authorization in SAP.</w:t>
      </w:r>
    </w:p>
    <w:p xmlns:wp14="http://schemas.microsoft.com/office/word/2010/wordml" w:rsidP="0E6F014A" wp14:paraId="2DFAACD2" wp14:textId="0EB261FD">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Revenue Forfeiture Liability: The financial obligation of the Carrier to reimburse the Enterprise for the 100% loss of gross revenue stemming from the Carrier-induced cancellation.</w:t>
      </w:r>
    </w:p>
    <w:p xmlns:wp14="http://schemas.microsoft.com/office/word/2010/wordml" w:rsidP="0E6F014A" wp14:paraId="16284B44" wp14:textId="1A525EA2">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0E6F014A" wp14:paraId="302BCE96" wp14:textId="2ACAF244">
      <w:pPr>
        <w:shd w:val="clear" w:color="auto" w:fill="FDFCFC"/>
        <w:spacing w:before="0" w:beforeAutospacing="off" w:after="0" w:afterAutospacing="off" w:line="360" w:lineRule="auto"/>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4.1. Absolute Transit Threshold: Seven (7) calendar days past the PDD represents the maximum allowable threshold for supply chain failure. Exceeding this limit constitutes a fundamental breach of this transportation agreement.</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4.2. Unilateral Consignee Rejection: Upon reaching an Extreme Delay Event, the clinic is automatically granted the right to refuse the shipment. The Carrier must not attempt to force delivery or coerce the clinic receiving staff into signing a Proof of Delivery (POD).</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4.3. Mandatory Return Obligation: Upon order cancellation due to an Extreme Delay, the Carrier is legally obligated to immediately secure the freight and initiate reverse logistics back to the Enterprise origin facility, maintaining strict temperature and environmental controls for the duration of the return transit.</w:t>
      </w:r>
    </w:p>
    <w:p xmlns:wp14="http://schemas.microsoft.com/office/word/2010/wordml" w:rsidP="0E6F014A" wp14:paraId="07438DA3" wp14:textId="7AE22EDA">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0E6F014A" wp14:paraId="5DF2200D" wp14:textId="60163E73">
      <w:pPr>
        <w:shd w:val="clear" w:color="auto" w:fill="FDFCFC"/>
        <w:spacing w:before="0" w:beforeAutospacing="off" w:after="0" w:afterAutospacing="off" w:line="360" w:lineRule="auto"/>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5.1. 100% Invoice Value Chargeback: In the event of an Extreme Delay Cancellation, the Carrier shall be penalized for the entirety of the Enterprise's lost sale. A penalty equal to 100% of the gross invoice value of the shipment (as recorded in SAP VBRK/VBRP tables) will be assessed against the Carrier.</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5.2. Absorption of Return Freight Costs: The Carrier shall execute the reverse logistics and return transit at zero cost to the Enterprise. Any original outbound freight charges billed by the Carrier for the failed delivery will be nullified and credited back to the Enterprise.</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5.3. Superseding Clause: The 100% Invoice Value Chargeback supersedes and replaces any previously accumulating daily delay penalties (e.g., $500 flat fee or 5% daily variable fee) for that specific shipment, acting as the ultimate liability cap for the delay event.</w:t>
      </w:r>
    </w:p>
    <w:p xmlns:wp14="http://schemas.microsoft.com/office/word/2010/wordml" w:rsidP="0E6F014A" wp14:paraId="4314A23C" wp14:textId="3694C33C">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0E6F014A" wp14:paraId="71EB34B8" wp14:textId="5ADA3388">
      <w:pPr>
        <w:shd w:val="clear" w:color="auto" w:fill="FDFCFC"/>
        <w:spacing w:before="0" w:beforeAutospacing="off" w:after="0" w:afterAutospacing="off" w:line="360" w:lineRule="auto"/>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6.1. Continuous Lifecycle Tracking: The AI Logistics Copilot will actively monitor the lifecycle of all in-transit shipments via FourKites/project44 telematics.</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6.2. Day-6 Pre-emptive Alerting: Should a shipment reach six (6) days past the PDD, the Copilot will generate a "Critical At-Risk" alert to the Enterprise Logistics Command Center and the Carrier's executive dispatch team, warning of impending Extreme Delay Cancellation.</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6.3. Autonomous Order Reversal: At precisely 00:01 local time on the eighth day post-PDD (constituting the Extreme Delay Event), the Copilot’s LLM engine will automatically interface with SAP to flag the outbound delivery (LIKP) as failed, cancel the customer billing block, and autonomously generate an RMA return order.</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6.4. Intercept &amp; Return Directives: Simultaneously, the Copilot will transmit an automated EDI 204/214 update to the Carrier's system, legally aborting the final-mile delivery and instructing the immediate return of the freight to the origin node. The 100% financial chargeback will be automatically posted to the vendor's ledger in SAP.</w:t>
      </w:r>
    </w:p>
    <w:p xmlns:wp14="http://schemas.microsoft.com/office/word/2010/wordml" w:rsidP="0E6F014A" wp14:paraId="2BCE0A3C" wp14:textId="3C1A0B72">
      <w:pPr>
        <w:pStyle w:val="Heading2"/>
        <w:shd w:val="clear" w:color="auto" w:fill="FDFCFC"/>
        <w:spacing w:before="360" w:beforeAutospacing="off" w:after="180" w:afterAutospacing="off" w:line="420" w:lineRule="auto"/>
      </w:pPr>
      <w:r w:rsidRPr="0E6F014A" w:rsidR="3454C025">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0E6F014A" wp14:paraId="199084C2" wp14:textId="6BF340C3">
      <w:pPr>
        <w:shd w:val="clear" w:color="auto" w:fill="FDFCFC"/>
        <w:spacing w:before="0" w:beforeAutospacing="off" w:after="0" w:afterAutospacing="off" w:line="360" w:lineRule="auto"/>
      </w:pP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7.1. Excusable Delays: The Carrier will not be held liable for the 100% Revenue Forfeiture Liability if the Extreme Delay was directly caused by a verified Force Majeure event of catastrophic scale (e.g., prolonged infrastructure collapse, natural disaster) that physically immobilized the freight for the 7-day duration.</w:t>
      </w:r>
      <w:r>
        <w:br/>
      </w:r>
      <w:r w:rsidRPr="0E6F014A" w:rsidR="3454C025">
        <w:rPr>
          <w:rFonts w:ascii="Times New Roman" w:hAnsi="Times New Roman" w:eastAsia="Times New Roman" w:cs="Times New Roman"/>
          <w:b w:val="0"/>
          <w:bCs w:val="0"/>
          <w:i w:val="0"/>
          <w:iCs w:val="0"/>
          <w:caps w:val="0"/>
          <w:smallCaps w:val="0"/>
          <w:noProof w:val="0"/>
          <w:color w:val="1F1F1F"/>
          <w:sz w:val="24"/>
          <w:szCs w:val="24"/>
          <w:lang w:val="en-US"/>
        </w:rPr>
        <w:t>7.2. Enterprise Origin Delays: The Carrier is exempt from this penalty if the delay originated from the Enterprise DC. The AI Logistics Copilot will audit the SAP Actual Goods Issue (AGI) timestamp against the Planned Goods Issue timestamp. If the Enterprise dispatched the freight late to the Carrier, truncating the Carrier's transit window, the Extreme Delay Penalty will be prorated or waived entirely based on the Copilot's automated fault-allocation logic.</w:t>
      </w:r>
    </w:p>
    <w:p xmlns:wp14="http://schemas.microsoft.com/office/word/2010/wordml" wp14:paraId="2C078E63" wp14:textId="739477B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c91c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559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C2912B"/>
    <w:rsid w:val="0E6F014A"/>
    <w:rsid w:val="3454C025"/>
    <w:rsid w:val="46C29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1691"/>
  <w15:chartTrackingRefBased/>
  <w15:docId w15:val="{8B75D5B2-47AB-4E50-A939-82AAAC5441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6F01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6F01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E6F01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b7fcb884264e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2026-08-11T10:40:41.5425784Z</dcterms:created>
  <dcterms:modified xsi:type="dcterms:W3CDTF">2026-08-11T10:42:05.3049504Z</dcterms:modified>
  <dc:creator>SATHISH S</dc:creator>
  <lastModifiedBy>SATHISH S</lastModifiedBy>
</coreProperties>
</file>