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5B688FD" wp14:paraId="2F99025C" wp14:textId="5FE7FB8A">
      <w:pPr>
        <w:pStyle w:val="Heading1"/>
        <w:shd w:val="clear" w:color="auto" w:fill="FDFCFC"/>
        <w:spacing w:before="360" w:beforeAutospacing="off" w:after="240" w:afterAutospacing="off" w:line="420" w:lineRule="auto"/>
      </w:pPr>
      <w:r w:rsidRPr="05B688FD" w:rsidR="385F69B5">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05B688FD" wp14:paraId="1F57F244" wp14:textId="230E7B1D">
      <w:pPr>
        <w:pStyle w:val="Heading2"/>
        <w:shd w:val="clear" w:color="auto" w:fill="FDFCFC"/>
        <w:spacing w:before="0" w:beforeAutospacing="off" w:after="180" w:afterAutospacing="off" w:line="420" w:lineRule="auto"/>
      </w:pPr>
      <w:r w:rsidRPr="05B688FD" w:rsidR="385F69B5">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05B688FD" wp14:paraId="62AD8312" wp14:textId="7BC3569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Document Title: Gold/Independent Tier Delivery &amp; Variable Penalty Framework</w:t>
      </w:r>
    </w:p>
    <w:p xmlns:wp14="http://schemas.microsoft.com/office/word/2010/wordml" w:rsidP="05B688FD" wp14:paraId="5B8D950E" wp14:textId="5AE2F9D6">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Document ID: SLA-LOG-VNS-0015</w:t>
      </w:r>
    </w:p>
    <w:p xmlns:wp14="http://schemas.microsoft.com/office/word/2010/wordml" w:rsidP="05B688FD" wp14:paraId="2FA79D88" wp14:textId="473FC5A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05B688FD" wp14:paraId="773BFAF7" wp14:textId="21BFCA6E">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&amp; Legal Compliance</w:t>
      </w:r>
    </w:p>
    <w:p xmlns:wp14="http://schemas.microsoft.com/office/word/2010/wordml" w:rsidP="05B688FD" wp14:paraId="54A21588" wp14:textId="7130AF3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05B688FD" wp14:paraId="659D9B64" wp14:textId="3F19B932">
      <w:pPr>
        <w:pStyle w:val="Heading2"/>
        <w:shd w:val="clear" w:color="auto" w:fill="FDFCFC"/>
        <w:spacing w:before="360" w:beforeAutospacing="off" w:after="180" w:afterAutospacing="off" w:line="420" w:lineRule="auto"/>
      </w:pPr>
      <w:r w:rsidRPr="05B688FD" w:rsidR="385F69B5">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05B688FD" wp14:paraId="73728C2D" wp14:textId="17CD9E4E">
      <w:pPr>
        <w:shd w:val="clear" w:color="auto" w:fill="FDFCFC"/>
        <w:spacing w:before="0" w:beforeAutospacing="off" w:after="0" w:afterAutospacing="off"/>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dictates the performance parameters and variable penalty structures for Third-Party Logistics ("3PL") carriers transporting medical-grade veterinary nutrition to our Gold Tier and Independent Clinic network. Because independent practitioners rely heavily on just-in-time inventory for specialized dietary treatments, delivery delays directly impact patient care and clinic operations. This document establishes a proportional, value-based penalty framework to enforce adherence to scheduled transit times while protecting the financial and operational integrity of both the enterprise and its independent veterinary partners.</w:t>
      </w:r>
    </w:p>
    <w:p xmlns:wp14="http://schemas.microsoft.com/office/word/2010/wordml" w:rsidP="05B688FD" wp14:paraId="4E6EA83E" wp14:textId="56734FED">
      <w:pPr>
        <w:pStyle w:val="Heading2"/>
        <w:shd w:val="clear" w:color="auto" w:fill="FDFCFC"/>
        <w:spacing w:before="360" w:beforeAutospacing="off" w:after="180" w:afterAutospacing="off" w:line="420" w:lineRule="auto"/>
      </w:pPr>
      <w:r w:rsidRPr="05B688FD" w:rsidR="385F69B5">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05B688FD" wp14:paraId="14F95337" wp14:textId="2431E355">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Promised Delivery Date (PDD): The contractually binding target delivery date generated at order entry, housed within the SAP ERP system (VBAK/LIKP tables).</w:t>
      </w:r>
    </w:p>
    <w:p xmlns:wp14="http://schemas.microsoft.com/office/word/2010/wordml" w:rsidP="05B688FD" wp14:paraId="172ED8CF" wp14:textId="5B2BFA8A">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Gold/Independent Tier Clinic: Non-enterprise, privately owned veterinary practices or mid-tier regional networks, classified under specific customer group pricing and categorization codes within the SAP Customer Master (KNVV).</w:t>
      </w:r>
    </w:p>
    <w:p xmlns:wp14="http://schemas.microsoft.com/office/word/2010/wordml" w:rsidP="05B688FD" wp14:paraId="0EF1DB00" wp14:textId="734B05D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Total Invoice Value: The gross monetary value of the shipment's contents (excluding freight and tax), dynamically referenced from SAP billing tables (VBRK/VBRP).</w:t>
      </w:r>
    </w:p>
    <w:p xmlns:wp14="http://schemas.microsoft.com/office/word/2010/wordml" w:rsidP="05B688FD" wp14:paraId="4EDAA62C" wp14:textId="4C9BABF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AI Logistics Copilot ("The Copilot"): The proprietary enterprise orchestration system utilizing LLM reasoning, LangGraph, and XGBoost to monitor telematics (FourKites/project44) and environmental conditions (OpenWeather API).</w:t>
      </w:r>
    </w:p>
    <w:p xmlns:wp14="http://schemas.microsoft.com/office/word/2010/wordml" w:rsidP="05B688FD" wp14:paraId="2E8773CA" wp14:textId="1077512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Grace Period: A strictly enforced, non-penalized twenty-four (24) hour window immediately succeeding the 23:59 local time expiration of the PDD.</w:t>
      </w:r>
    </w:p>
    <w:p xmlns:wp14="http://schemas.microsoft.com/office/word/2010/wordml" w:rsidP="05B688FD" wp14:paraId="0508DFF9" wp14:textId="0978EA57">
      <w:pPr>
        <w:pStyle w:val="Heading2"/>
        <w:shd w:val="clear" w:color="auto" w:fill="FDFCFC"/>
        <w:spacing w:before="360" w:beforeAutospacing="off" w:after="180" w:afterAutospacing="off" w:line="420" w:lineRule="auto"/>
      </w:pPr>
      <w:r w:rsidRPr="05B688FD" w:rsidR="385F69B5">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05B688FD" wp14:paraId="1A3C9E80" wp14:textId="514CF126">
      <w:pPr>
        <w:shd w:val="clear" w:color="auto" w:fill="FDFCFC"/>
        <w:spacing w:before="0" w:beforeAutospacing="off" w:after="0" w:afterAutospacing="off" w:line="360" w:lineRule="auto"/>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4.1. Transit &amp; Delivery Execution: The Carrier is contracted to deliver all assigned freight to the designated Gold/Independent Tier Clinic on or prior to the SAP-generated PDD, recorded in the active shipment document (VTTK).</w:t>
      </w:r>
      <w:r>
        <w:br/>
      </w: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4.2. Grace Period Allowance: A single twenty-four (24) hour Grace Period is permitted post-PDD without financial penalty, provided the medical-grade freight remains secure from temperature fluctuations, moisture ingress, or pest exposure.</w:t>
      </w:r>
      <w:r>
        <w:br/>
      </w: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4.3. Escalating Liability: Unlike flat-fee structures, liability for Gold/Independent Tier clinics scales proportionately with the value of the veterinary nutrition delayed. High-value prescription diets carry inherently higher delay risks and subsequent penalties.</w:t>
      </w:r>
      <w:r>
        <w:br/>
      </w: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4.4. Proof of Delivery (POD) Mandate: Carriers must submit electronic POD via API within two (2) hours of physical delivery to halt the penalty calculation clock.</w:t>
      </w:r>
    </w:p>
    <w:p xmlns:wp14="http://schemas.microsoft.com/office/word/2010/wordml" w:rsidP="05B688FD" wp14:paraId="24D1AF37" wp14:textId="35FC6BE3">
      <w:pPr>
        <w:pStyle w:val="Heading2"/>
        <w:shd w:val="clear" w:color="auto" w:fill="FDFCFC"/>
        <w:spacing w:before="360" w:beforeAutospacing="off" w:after="180" w:afterAutospacing="off" w:line="420" w:lineRule="auto"/>
      </w:pPr>
      <w:r w:rsidRPr="05B688FD" w:rsidR="385F69B5">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05B688FD" wp14:paraId="46F95009" wp14:textId="3CCA9EAD">
      <w:pPr>
        <w:shd w:val="clear" w:color="auto" w:fill="FDFCFC"/>
        <w:spacing w:before="0" w:beforeAutospacing="off" w:after="0" w:afterAutospacing="off" w:line="360" w:lineRule="auto"/>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5.1. Variable Delay Penalty: Should a delivery occur after the expiration of the 24-hour Grace Period, a dynamic financial penalty equal to five percent (5%) of the Total Invoice Value per calendar day (or fraction thereof) shall be levied against the Carrier.</w:t>
      </w:r>
      <w:r>
        <w:br/>
      </w: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5.2. Penalty Cap: The maximum accumulated delay penalty for any single shipment under this specific SLA is strictly capped at twenty-five percent (25%) of the total order value. (Note: This cap applies only to late-delivery penalties and does not limit liability for physical freight damage or spoilage).</w:t>
      </w:r>
      <w:r>
        <w:br/>
      </w: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5.3. Financial Execution: The calculated percentage deduction will be processed autonomously as a carrier chargeback against the corresponding freight settlement invoice in SAP.</w:t>
      </w:r>
    </w:p>
    <w:p xmlns:wp14="http://schemas.microsoft.com/office/word/2010/wordml" w:rsidP="05B688FD" wp14:paraId="095B03AC" wp14:textId="4F41D6C4">
      <w:pPr>
        <w:pStyle w:val="Heading2"/>
        <w:shd w:val="clear" w:color="auto" w:fill="FDFCFC"/>
        <w:spacing w:before="360" w:beforeAutospacing="off" w:after="180" w:afterAutospacing="off" w:line="420" w:lineRule="auto"/>
      </w:pPr>
      <w:r w:rsidRPr="05B688FD" w:rsidR="385F69B5">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05B688FD" wp14:paraId="38BAA4A2" wp14:textId="28AE170E">
      <w:pPr>
        <w:shd w:val="clear" w:color="auto" w:fill="FDFCFC"/>
        <w:spacing w:before="0" w:beforeAutospacing="off" w:after="0" w:afterAutospacing="off" w:line="360" w:lineRule="auto"/>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6.1. Dynamic Penalty Calculation: Upon detecting a delay via FourKites/project44 telematics, the AI Logistics Copilot will cross-reference the shipment details in SAP (VBRK/VBRP) to calculate the precise daily 5% penalty amount based on the live invoice value.</w:t>
      </w:r>
      <w:r>
        <w:br/>
      </w: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6.2. Cap Monitoring: The Copilot's LangGraph orchestration nodes will track the accrued penalty across consecutive days of delay, automatically halting the penalty calculation once the 25% maximum cap is achieved.</w:t>
      </w:r>
      <w:r>
        <w:br/>
      </w: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6.3. Autonomous Chargeback Posting: Upon receiving the delayed electronic POD, the Copilot will definitively close the delay event, compute the final deduction, and post the adjustment directly to the Carrier's ledger via SAP integration, requiring zero manual accounting intervention.</w:t>
      </w:r>
      <w:r>
        <w:br/>
      </w: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6.4. Proactive Routing Adjustments: If XGBoost predictive models indicate a high probability of a delay that would reach the 25% penalty cap, the Copilot will automatically alert the Logistics Command Center to evaluate an emergency cross-dock or expedited re-route to preserve customer relations.</w:t>
      </w:r>
    </w:p>
    <w:p xmlns:wp14="http://schemas.microsoft.com/office/word/2010/wordml" w:rsidP="05B688FD" wp14:paraId="3CE0508E" wp14:textId="40F6833B">
      <w:pPr>
        <w:pStyle w:val="Heading2"/>
        <w:shd w:val="clear" w:color="auto" w:fill="FDFCFC"/>
        <w:spacing w:before="360" w:beforeAutospacing="off" w:after="180" w:afterAutospacing="off" w:line="420" w:lineRule="auto"/>
      </w:pPr>
      <w:r w:rsidRPr="05B688FD" w:rsidR="385F69B5">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05B688FD" wp14:paraId="7FF0C983" wp14:textId="5DAA5323">
      <w:pPr>
        <w:shd w:val="clear" w:color="auto" w:fill="FDFCFC"/>
        <w:spacing w:before="0" w:beforeAutospacing="off" w:after="0" w:afterAutospacing="off" w:line="360" w:lineRule="auto"/>
      </w:pP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7.1. Recognized Exceptions: Penalties may be waived only in circumstances of true Force Majeure (e.g., catastrophic weather events, unannounced state border closures) that fundamentally render commercial transit impossible.</w:t>
      </w:r>
      <w:r>
        <w:br/>
      </w:r>
      <w:r w:rsidRPr="05B688FD" w:rsidR="385F69B5">
        <w:rPr>
          <w:rFonts w:ascii="Times New Roman" w:hAnsi="Times New Roman" w:eastAsia="Times New Roman" w:cs="Times New Roman"/>
          <w:b w:val="0"/>
          <w:bCs w:val="0"/>
          <w:i w:val="0"/>
          <w:iCs w:val="0"/>
          <w:caps w:val="0"/>
          <w:smallCaps w:val="0"/>
          <w:noProof w:val="0"/>
          <w:color w:val="1F1F1F"/>
          <w:sz w:val="24"/>
          <w:szCs w:val="24"/>
          <w:lang w:val="en-US"/>
        </w:rPr>
        <w:t>7.2. Algorithmic Verification: All Force Majeure claims submitted by the Carrier must undergo automated validation by the AI Logistics Copilot. The system will ping the OpenWeather API and regional DOT traffic feeds matching the spatial and temporal coordinates of the claimed event. If the Copilot’s LLM reasoning determines the weather/traffic data does not substantiate a critical transit failure, the claim is automatically rejected, and the percentage-based deduction is enforced.</w:t>
      </w:r>
    </w:p>
    <w:p xmlns:wp14="http://schemas.microsoft.com/office/word/2010/wordml" wp14:paraId="2C078E63" wp14:textId="4035A54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64b7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6bd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5017E8"/>
    <w:rsid w:val="05B688FD"/>
    <w:rsid w:val="385F69B5"/>
    <w:rsid w:val="72501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0C31"/>
  <w15:chartTrackingRefBased/>
  <w15:docId w15:val="{FADA0942-E45B-4C12-A40C-DB71746517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5B688F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5B688F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5B688F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4d90866050443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2026-08-11T10:35:13.4461844Z</dcterms:created>
  <dcterms:modified xsi:type="dcterms:W3CDTF">2026-08-11T10:36:39.9991195Z</dcterms:modified>
  <dc:creator>SATHISH S</dc:creator>
  <lastModifiedBy>SATHISH S</lastModifiedBy>
</coreProperties>
</file>