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0A8DE0" wp14:paraId="31ED7305" wp14:textId="24BAA04C">
      <w:pPr>
        <w:pStyle w:val="Heading1"/>
        <w:shd w:val="clear" w:color="auto" w:fill="FDFCFC"/>
        <w:spacing w:before="360" w:beforeAutospacing="off" w:after="240" w:afterAutospacing="off" w:line="420" w:lineRule="auto"/>
      </w:pPr>
      <w:r w:rsidRPr="5E0A8DE0" w:rsidR="7BDA7924">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5E0A8DE0" wp14:paraId="7CA827B8" wp14:textId="6F295B7A">
      <w:pPr>
        <w:pStyle w:val="Heading2"/>
        <w:shd w:val="clear" w:color="auto" w:fill="FDFCFC"/>
        <w:spacing w:before="0" w:beforeAutospacing="off" w:after="180" w:afterAutospacing="off" w:line="420" w:lineRule="auto"/>
      </w:pPr>
      <w:r w:rsidRPr="5E0A8DE0" w:rsidR="7BDA7924">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5E0A8DE0" wp14:paraId="36E4B55C" wp14:textId="51DEAD2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Document Title: Mandatory Intermodal Mode Shift (Road-to-Rail) &amp; Rate Lock Protocol</w:t>
      </w:r>
    </w:p>
    <w:p xmlns:wp14="http://schemas.microsoft.com/office/word/2010/wordml" w:rsidP="5E0A8DE0" wp14:paraId="6F7247B4" wp14:textId="6B0A984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Document ID: SLA-LOG-VNS-0024</w:t>
      </w:r>
    </w:p>
    <w:p xmlns:wp14="http://schemas.microsoft.com/office/word/2010/wordml" w:rsidP="5E0A8DE0" wp14:paraId="3913E00E" wp14:textId="20AC0556">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5E0A8DE0" wp14:paraId="0999F120" wp14:textId="091D4E4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Transportation Management (SAP TM), &amp; Legal Compliance</w:t>
      </w:r>
    </w:p>
    <w:p xmlns:wp14="http://schemas.microsoft.com/office/word/2010/wordml" w:rsidP="5E0A8DE0" wp14:paraId="3B426326" wp14:textId="00D424C8">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5E0A8DE0" wp14:paraId="559CA646" wp14:textId="73EE95E0">
      <w:pPr>
        <w:pStyle w:val="Heading2"/>
        <w:shd w:val="clear" w:color="auto" w:fill="FDFCFC"/>
        <w:spacing w:before="360" w:beforeAutospacing="off" w:after="180" w:afterAutospacing="off" w:line="420" w:lineRule="auto"/>
      </w:pPr>
      <w:r w:rsidRPr="5E0A8DE0" w:rsidR="7BDA7924">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5E0A8DE0" wp14:paraId="25E309E6" wp14:textId="20EA82D6">
      <w:pPr>
        <w:shd w:val="clear" w:color="auto" w:fill="FDFCFC"/>
        <w:spacing w:before="0" w:beforeAutospacing="off" w:after="0" w:afterAutospacing="off"/>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dictates the mandatory contingency routing protocols during sustained, severe winter weather events (e.g., cross-country blizzards) that cause catastrophic failure of over-the-road (OTR) highway infrastructure. To ensure the continuous supply of critical veterinary nutrition to clinical partners across the continent, Third-Party Logistics ("3PL") Carriers must maintain resilient, multi-modal capabilities. This document legally compels the Carrier to shift stalled Full Truckload (FTL) freight to an Intermodal Rail network when highway closures exceed a specified duration, while strictly prohibiting the Carrier from passing emergency transit premiums or markup costs back to the Enterprise.</w:t>
      </w:r>
    </w:p>
    <w:p xmlns:wp14="http://schemas.microsoft.com/office/word/2010/wordml" w:rsidP="5E0A8DE0" wp14:paraId="308F138A" wp14:textId="6A151EAB">
      <w:pPr>
        <w:pStyle w:val="Heading2"/>
        <w:shd w:val="clear" w:color="auto" w:fill="FDFCFC"/>
        <w:spacing w:before="360" w:beforeAutospacing="off" w:after="180" w:afterAutospacing="off" w:line="420" w:lineRule="auto"/>
      </w:pPr>
      <w:r w:rsidRPr="5E0A8DE0" w:rsidR="7BDA7924">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5E0A8DE0" wp14:paraId="3B31A163" wp14:textId="39AEDF1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Full Truckload (FTL): The primary, over-the-road (highway) transportation method contracted for the shipment, recorded in the SAP Transportation Management (TM) module.</w:t>
      </w:r>
    </w:p>
    <w:p xmlns:wp14="http://schemas.microsoft.com/office/word/2010/wordml" w:rsidP="5E0A8DE0" wp14:paraId="6A73B201" wp14:textId="0CD0CE13">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Mandatory Intermodal Mode Shift: The contractually obligated transfer of a loaded trailer or shipping container from a highway tractor to a commercial freight rail network to bypass impassable road conditions.</w:t>
      </w:r>
    </w:p>
    <w:p xmlns:wp14="http://schemas.microsoft.com/office/word/2010/wordml" w:rsidP="5E0A8DE0" wp14:paraId="742D3BF0" wp14:textId="13366CC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Base Contracted Rate: The original, legally binding freight line-haul rate agreed upon at the time of tender acceptance, residing in the SAP pricing conditions (TK11/PR00).</w:t>
      </w:r>
    </w:p>
    <w:p xmlns:wp14="http://schemas.microsoft.com/office/word/2010/wordml" w:rsidP="5E0A8DE0" wp14:paraId="02F615A2" wp14:textId="6DD20455">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Catastrophic Road Blockage Threshold: A predictive or actual highway closure along the designated transit route lasting, or projected to last, greater than forty-eight (48) consecutive hours.</w:t>
      </w:r>
    </w:p>
    <w:p xmlns:wp14="http://schemas.microsoft.com/office/word/2010/wordml" w:rsidP="5E0A8DE0" wp14:paraId="56AE4DF1" wp14:textId="131FC46A">
      <w:pPr>
        <w:pStyle w:val="Heading2"/>
        <w:shd w:val="clear" w:color="auto" w:fill="FDFCFC"/>
        <w:spacing w:before="360" w:beforeAutospacing="off" w:after="180" w:afterAutospacing="off" w:line="420" w:lineRule="auto"/>
      </w:pPr>
      <w:r w:rsidRPr="5E0A8DE0" w:rsidR="7BDA7924">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5E0A8DE0" wp14:paraId="3174D373" wp14:textId="2B5577F3">
      <w:pPr>
        <w:shd w:val="clear" w:color="auto" w:fill="FDFCFC"/>
        <w:spacing w:before="0" w:beforeAutospacing="off" w:after="0" w:afterAutospacing="off" w:line="360" w:lineRule="auto"/>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4.1. Intermodal Contingency Obligation: All contracted FTL Carriers transporting Enterprise veterinary nutrition must possess active interchange agreements with Class I rail networks.</w:t>
      </w:r>
      <w:r>
        <w:br/>
      </w: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4.2. Mandatory Execution of Shift: Upon reaching the Catastrophic Road Blockage Threshold, the Carrier must immediately divert the stalled FTL freight to the nearest operational railhead and inject it into the intermodal network to bypass the affected geographic zone.</w:t>
      </w:r>
      <w:r>
        <w:br/>
      </w: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4.3. Absolute Prohibition of Rate Markups: The Carrier is strictly forbidden from assessing emergency surcharges, intermodal lift fees, or marking up the freight invoice to cover the cost of the rail shift. The Carrier must execute the Mode Shift entirely within the financial constraints of the Base Contracted Rate.</w:t>
      </w:r>
      <w:r>
        <w:br/>
      </w: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4.4. Maintenance of Freight Integrity: While transitioning to and traveling upon the rail network, the Carrier retains full liability for the physical integrity of the medical-grade freight, including protection against moisture ingress and maintaining required temperature thresholds.</w:t>
      </w:r>
    </w:p>
    <w:p xmlns:wp14="http://schemas.microsoft.com/office/word/2010/wordml" w:rsidP="5E0A8DE0" wp14:paraId="0D469036" wp14:textId="6780A203">
      <w:pPr>
        <w:pStyle w:val="Heading2"/>
        <w:shd w:val="clear" w:color="auto" w:fill="FDFCFC"/>
        <w:spacing w:before="360" w:beforeAutospacing="off" w:after="180" w:afterAutospacing="off" w:line="420" w:lineRule="auto"/>
      </w:pPr>
      <w:r w:rsidRPr="5E0A8DE0" w:rsidR="7BDA7924">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5E0A8DE0" wp14:paraId="346290C2" wp14:textId="7F692143">
      <w:pPr>
        <w:shd w:val="clear" w:color="auto" w:fill="FDFCFC"/>
        <w:spacing w:before="0" w:beforeAutospacing="off" w:after="0" w:afterAutospacing="off" w:line="360" w:lineRule="auto"/>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5.1. Unauthorized Markup Forfeiture: Any invoice submitted by the Carrier containing surcharges, lift fees, or line-haul increases related to the Mode Shift will be automatically rejected. The Enterprise will short-pay the invoice, remitting strictly the Base Contracted Rate.</w:t>
      </w:r>
      <w:r>
        <w:br/>
      </w: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5.2. Forfeiture of Force Majeure Protections: If a Carrier refuses to execute the Mandatory Mode Shift and elects to idle the FTL unit until the blizzard clears (exceeding the 48-hour threshold), the Carrier officially forfeits all Force Majeure delay exemptions.</w:t>
      </w:r>
      <w:r>
        <w:br/>
      </w: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5.3. Reinstatement of Delay Penalties: Upon forfeiture of Force Majeure protections due to a refusal to shift modes, standard SLA delay penalties (e.g., $500.00 USD per day for Platinum clinics or 5% of invoice value for Gold clinics) shall be retroactively applied from the original Promised Delivery Date (PDD).</w:t>
      </w:r>
    </w:p>
    <w:p xmlns:wp14="http://schemas.microsoft.com/office/word/2010/wordml" w:rsidP="5E0A8DE0" wp14:paraId="36CEEB91" wp14:textId="4887F0D7">
      <w:pPr>
        <w:pStyle w:val="Heading2"/>
        <w:shd w:val="clear" w:color="auto" w:fill="FDFCFC"/>
        <w:spacing w:before="360" w:beforeAutospacing="off" w:after="180" w:afterAutospacing="off" w:line="420" w:lineRule="auto"/>
      </w:pPr>
      <w:r w:rsidRPr="5E0A8DE0" w:rsidR="7BDA7924">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5E0A8DE0" wp14:paraId="330601CA" wp14:textId="739F4325">
      <w:pPr>
        <w:shd w:val="clear" w:color="auto" w:fill="FDFCFC"/>
        <w:spacing w:before="0" w:beforeAutospacing="off" w:after="0" w:afterAutospacing="off" w:line="360" w:lineRule="auto"/>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6.1. Predictive Infrastructure Scanning: The AI Logistics Copilot utilizes LangGraph orchestration to continuously correlate FourKites/project44 truck GPS telemetry with OpenWeather API blizzard polygons and state Department of Transportation (DOT) highway closure feeds.</w:t>
      </w:r>
      <w:r>
        <w:br/>
      </w: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6.2. Autonomous Mode Shift Directive: If the Copilot’s XGBoost models predict a highway route will remain impassable for &gt;48 hours, its LLM engine autonomously generates and transmits an EDI 204 update (Mode Shift Directive) to the Carrier, legally invoking this SLA clause and instructing immediate diversion to the nearest operational railhead.</w:t>
      </w:r>
      <w:r>
        <w:br/>
      </w: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6.3. SAP TM Rate Locking: Concurrently, the Copilot will interface with SAP Transportation Management and SAP Finance (MIRO). It will place a hard tolerance lock on the freight settlement document, ensuring that the system automatically blocks and flags any incoming Carrier invoice that attempts to bill above the original Base Contracted Rate.</w:t>
      </w:r>
      <w:r>
        <w:br/>
      </w: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6.4. Rail Node Tracking Integration: Upon execution of the shift, the Copilot will autonomously switch its tracking APIs to ingest railcar telemetry data, continuously updating the receiving clinic with revised intermodal ETAs.</w:t>
      </w:r>
    </w:p>
    <w:p xmlns:wp14="http://schemas.microsoft.com/office/word/2010/wordml" w:rsidP="5E0A8DE0" wp14:paraId="58B8DE05" wp14:textId="1ACA08BD">
      <w:pPr>
        <w:pStyle w:val="Heading2"/>
        <w:shd w:val="clear" w:color="auto" w:fill="FDFCFC"/>
        <w:spacing w:before="360" w:beforeAutospacing="off" w:after="180" w:afterAutospacing="off" w:line="420" w:lineRule="auto"/>
      </w:pPr>
      <w:r w:rsidRPr="5E0A8DE0" w:rsidR="7BDA7924">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5E0A8DE0" wp14:paraId="2ECDB397" wp14:textId="409D3AC8">
      <w:pPr>
        <w:shd w:val="clear" w:color="auto" w:fill="FDFCFC"/>
        <w:spacing w:before="0" w:beforeAutospacing="off" w:after="0" w:afterAutospacing="off" w:line="360" w:lineRule="auto"/>
      </w:pP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7.1. Concurrent Rail Network Failure: The Carrier shall be exempt from the Mandatory Mode Shift requirement—and will retain standard Force Majeure delay penalty waivers—if the blizzard has simultaneously disabled the regional rail network.</w:t>
      </w:r>
      <w:r>
        <w:br/>
      </w: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7.2. Copilot Network Validation: To claim the Rail Network Failure exemption, the AI Logistics Copilot must corroborate the claim. The Copilot will ping the API endpoints of the regional Class I railroads (e.g., Union Pacific, BNSF). If the rail network APIs confirm embargos or track closures parallel to the highway closure, the Mode Shift mandate is waived, and the Carrier is permitted to shelter in place without penalty.</w:t>
      </w:r>
      <w:r>
        <w:br/>
      </w:r>
      <w:r w:rsidRPr="5E0A8DE0" w:rsidR="7BDA7924">
        <w:rPr>
          <w:rFonts w:ascii="Times New Roman" w:hAnsi="Times New Roman" w:eastAsia="Times New Roman" w:cs="Times New Roman"/>
          <w:b w:val="0"/>
          <w:bCs w:val="0"/>
          <w:i w:val="0"/>
          <w:iCs w:val="0"/>
          <w:caps w:val="0"/>
          <w:smallCaps w:val="0"/>
          <w:noProof w:val="0"/>
          <w:color w:val="1F1F1F"/>
          <w:sz w:val="24"/>
          <w:szCs w:val="24"/>
          <w:lang w:val="en-US"/>
        </w:rPr>
        <w:t>7.3. Geographic Impossibility: The Mode Shift mandate is waived if the Copilot's geospatial logic calculates that the stalled FTL unit is trapped more than 250 miles from the nearest viable intermodal railhead, rendering diversion physically impossible due to the road conditions.</w:t>
      </w:r>
    </w:p>
    <w:p xmlns:wp14="http://schemas.microsoft.com/office/word/2010/wordml" wp14:paraId="2C078E63" wp14:textId="20F46AB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14c2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e111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0D4EBC"/>
    <w:rsid w:val="260D4EBC"/>
    <w:rsid w:val="5272F7BC"/>
    <w:rsid w:val="5E0A8DE0"/>
    <w:rsid w:val="7BDA7924"/>
    <w:rsid w:val="7E9D2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1FEFB"/>
  <w15:chartTrackingRefBased/>
  <w15:docId w15:val="{09B75BCB-53CB-4879-A3B3-74586BD1EE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E0A8DE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E0A8DE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E0A8DE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0ea3a4136af46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2026-08-11T10:59:54.2378517Z</dcterms:created>
  <dcterms:modified xsi:type="dcterms:W3CDTF">2026-08-11T11:02:31.2870417Z</dcterms:modified>
  <dc:creator>SATHISH S</dc:creator>
  <lastModifiedBy>SATHISH S</lastModifiedBy>
</coreProperties>
</file>