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05E3F581" wp14:paraId="1372FE18" wp14:textId="365E112A">
      <w:pPr>
        <w:pStyle w:val="Heading1"/>
        <w:shd w:val="clear" w:color="auto" w:fill="FDFCFC"/>
        <w:spacing w:before="360" w:beforeAutospacing="off" w:after="240" w:afterAutospacing="off" w:line="420" w:lineRule="auto"/>
      </w:pPr>
      <w:r w:rsidRPr="05E3F581" w:rsidR="26F15E6E">
        <w:rPr>
          <w:rFonts w:ascii="Times New Roman" w:hAnsi="Times New Roman" w:eastAsia="Times New Roman" w:cs="Times New Roman"/>
          <w:b w:val="1"/>
          <w:bCs w:val="1"/>
          <w:i w:val="0"/>
          <w:iCs w:val="0"/>
          <w:caps w:val="0"/>
          <w:smallCaps w:val="0"/>
          <w:noProof w:val="0"/>
          <w:color w:val="1F1F1F"/>
          <w:sz w:val="33"/>
          <w:szCs w:val="33"/>
          <w:lang w:val="en-US"/>
        </w:rPr>
        <w:t>SERVICE LEVEL AGREEMENT (SLA) &amp; STANDARD OPERATING PROCEDURE</w:t>
      </w:r>
    </w:p>
    <w:p xmlns:wp14="http://schemas.microsoft.com/office/word/2010/wordml" w:rsidP="05E3F581" wp14:paraId="0D54016C" wp14:textId="2F491C1B">
      <w:pPr>
        <w:pStyle w:val="Heading2"/>
        <w:shd w:val="clear" w:color="auto" w:fill="FDFCFC"/>
        <w:spacing w:before="0" w:beforeAutospacing="off" w:after="180" w:afterAutospacing="off" w:line="420" w:lineRule="auto"/>
      </w:pPr>
      <w:r w:rsidRPr="05E3F581" w:rsidR="26F15E6E">
        <w:rPr>
          <w:rFonts w:ascii="Times New Roman" w:hAnsi="Times New Roman" w:eastAsia="Times New Roman" w:cs="Times New Roman"/>
          <w:b w:val="1"/>
          <w:bCs w:val="1"/>
          <w:i w:val="0"/>
          <w:iCs w:val="0"/>
          <w:caps w:val="0"/>
          <w:smallCaps w:val="0"/>
          <w:noProof w:val="0"/>
          <w:color w:val="1F1F1F"/>
          <w:sz w:val="30"/>
          <w:szCs w:val="30"/>
          <w:lang w:val="en-US"/>
        </w:rPr>
        <w:t>1. Document Header</w:t>
      </w:r>
    </w:p>
    <w:p xmlns:wp14="http://schemas.microsoft.com/office/word/2010/wordml" w:rsidP="05E3F581" wp14:paraId="3B946BC4" wp14:textId="2F26730F">
      <w:pPr>
        <w:pStyle w:val="ListParagraph"/>
        <w:numPr>
          <w:ilvl w:val="0"/>
          <w:numId w:val="1"/>
        </w:numPr>
        <w:shd w:val="clear" w:color="auto" w:fill="FDFCFC"/>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1F1F1F"/>
          <w:sz w:val="24"/>
          <w:szCs w:val="24"/>
          <w:lang w:val="en-US"/>
        </w:rPr>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Document Title: Platinum Tier Delivery &amp; Delay Penalty Framework</w:t>
      </w:r>
    </w:p>
    <w:p xmlns:wp14="http://schemas.microsoft.com/office/word/2010/wordml" w:rsidP="05E3F581" wp14:paraId="2284DAF7" wp14:textId="5FB7734A">
      <w:pPr>
        <w:pStyle w:val="ListParagraph"/>
        <w:numPr>
          <w:ilvl w:val="0"/>
          <w:numId w:val="1"/>
        </w:numPr>
        <w:shd w:val="clear" w:color="auto" w:fill="FDFCFC"/>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1F1F1F"/>
          <w:sz w:val="24"/>
          <w:szCs w:val="24"/>
          <w:lang w:val="en-US"/>
        </w:rPr>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Document ID: SLA-LOG-VNS-0014</w:t>
      </w:r>
    </w:p>
    <w:p xmlns:wp14="http://schemas.microsoft.com/office/word/2010/wordml" w:rsidP="05E3F581" wp14:paraId="74C7BCBA" wp14:textId="7D346FAB">
      <w:pPr>
        <w:pStyle w:val="ListParagraph"/>
        <w:numPr>
          <w:ilvl w:val="0"/>
          <w:numId w:val="1"/>
        </w:numPr>
        <w:shd w:val="clear" w:color="auto" w:fill="FDFCFC"/>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1F1F1F"/>
          <w:sz w:val="24"/>
          <w:szCs w:val="24"/>
          <w:lang w:val="en-US"/>
        </w:rPr>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Effective Date: August 11, 2026</w:t>
      </w:r>
    </w:p>
    <w:p xmlns:wp14="http://schemas.microsoft.com/office/word/2010/wordml" w:rsidP="05E3F581" wp14:paraId="570155F6" wp14:textId="3814F45D">
      <w:pPr>
        <w:pStyle w:val="ListParagraph"/>
        <w:numPr>
          <w:ilvl w:val="0"/>
          <w:numId w:val="1"/>
        </w:numPr>
        <w:shd w:val="clear" w:color="auto" w:fill="FDFCFC"/>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1F1F1F"/>
          <w:sz w:val="24"/>
          <w:szCs w:val="24"/>
          <w:lang w:val="en-US"/>
        </w:rPr>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Controlling Department: Global Supply Chain &amp; Legal Compliance</w:t>
      </w:r>
    </w:p>
    <w:p xmlns:wp14="http://schemas.microsoft.com/office/word/2010/wordml" w:rsidP="05E3F581" wp14:paraId="58503C3B" wp14:textId="495F5933">
      <w:pPr>
        <w:pStyle w:val="ListParagraph"/>
        <w:numPr>
          <w:ilvl w:val="0"/>
          <w:numId w:val="1"/>
        </w:numPr>
        <w:shd w:val="clear" w:color="auto" w:fill="FDFCFC"/>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1F1F1F"/>
          <w:sz w:val="24"/>
          <w:szCs w:val="24"/>
          <w:lang w:val="en-US"/>
        </w:rPr>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Review Cycle: Annual</w:t>
      </w:r>
    </w:p>
    <w:p xmlns:wp14="http://schemas.microsoft.com/office/word/2010/wordml" w:rsidP="05E3F581" wp14:paraId="2742DC06" wp14:textId="45ADEB06">
      <w:pPr>
        <w:pStyle w:val="Heading2"/>
        <w:shd w:val="clear" w:color="auto" w:fill="FDFCFC"/>
        <w:spacing w:before="360" w:beforeAutospacing="off" w:after="180" w:afterAutospacing="off" w:line="420" w:lineRule="auto"/>
      </w:pPr>
      <w:r w:rsidRPr="05E3F581" w:rsidR="26F15E6E">
        <w:rPr>
          <w:rFonts w:ascii="Times New Roman" w:hAnsi="Times New Roman" w:eastAsia="Times New Roman" w:cs="Times New Roman"/>
          <w:b w:val="1"/>
          <w:bCs w:val="1"/>
          <w:i w:val="0"/>
          <w:iCs w:val="0"/>
          <w:caps w:val="0"/>
          <w:smallCaps w:val="0"/>
          <w:noProof w:val="0"/>
          <w:color w:val="1F1F1F"/>
          <w:sz w:val="30"/>
          <w:szCs w:val="30"/>
          <w:lang w:val="en-US"/>
        </w:rPr>
        <w:t>2. Preamble/Purpose</w:t>
      </w:r>
    </w:p>
    <w:p xmlns:wp14="http://schemas.microsoft.com/office/word/2010/wordml" w:rsidP="05E3F581" wp14:paraId="3E38D358" wp14:textId="12AB5A21">
      <w:pPr>
        <w:shd w:val="clear" w:color="auto" w:fill="FDFCFC"/>
        <w:spacing w:before="0" w:beforeAutospacing="off" w:after="0" w:afterAutospacing="off"/>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This Service Level Agreement ("SLA" or "Agreement") establishes the binding performance standards, operational protocols, and financial penalty structures governing the transportation and delivery of medical-grade veterinary nutrition products by Third-Party Logistics ("3PL") carriers. This document specifically outlines the compliance requirements for deliveries to Platinum Tier clinical partners (e.g., Banfield Pet Hospital, VCA Animal Hospitals). Given the perishable and critical health nature of the freight, strict adherence to delivery schedules is mandatory to mitigate animal health risks and severe financial liabilities.</w:t>
      </w:r>
    </w:p>
    <w:p xmlns:wp14="http://schemas.microsoft.com/office/word/2010/wordml" w:rsidP="05E3F581" wp14:paraId="66FF0E92" wp14:textId="54F9E879">
      <w:pPr>
        <w:pStyle w:val="Heading2"/>
        <w:shd w:val="clear" w:color="auto" w:fill="FDFCFC"/>
        <w:spacing w:before="360" w:beforeAutospacing="off" w:after="180" w:afterAutospacing="off" w:line="420" w:lineRule="auto"/>
      </w:pPr>
      <w:r w:rsidRPr="05E3F581" w:rsidR="26F15E6E">
        <w:rPr>
          <w:rFonts w:ascii="Times New Roman" w:hAnsi="Times New Roman" w:eastAsia="Times New Roman" w:cs="Times New Roman"/>
          <w:b w:val="1"/>
          <w:bCs w:val="1"/>
          <w:i w:val="0"/>
          <w:iCs w:val="0"/>
          <w:caps w:val="0"/>
          <w:smallCaps w:val="0"/>
          <w:noProof w:val="0"/>
          <w:color w:val="1F1F1F"/>
          <w:sz w:val="30"/>
          <w:szCs w:val="30"/>
          <w:lang w:val="en-US"/>
        </w:rPr>
        <w:t>3. Key Definitions</w:t>
      </w:r>
    </w:p>
    <w:p xmlns:wp14="http://schemas.microsoft.com/office/word/2010/wordml" w:rsidP="05E3F581" wp14:paraId="03C294E0" wp14:textId="53AECDDE">
      <w:pPr>
        <w:pStyle w:val="ListParagraph"/>
        <w:numPr>
          <w:ilvl w:val="0"/>
          <w:numId w:val="2"/>
        </w:numPr>
        <w:shd w:val="clear" w:color="auto" w:fill="FDFCFC"/>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1F1F1F"/>
          <w:sz w:val="24"/>
          <w:szCs w:val="24"/>
          <w:lang w:val="en-US"/>
        </w:rPr>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Promised Delivery Date (PDD): The legally binding delivery date established at order creation and recorded within the SAP ERP system (VBAK/LIKP tables).</w:t>
      </w:r>
    </w:p>
    <w:p xmlns:wp14="http://schemas.microsoft.com/office/word/2010/wordml" w:rsidP="05E3F581" wp14:paraId="2F681378" wp14:textId="598E94B0">
      <w:pPr>
        <w:pStyle w:val="ListParagraph"/>
        <w:numPr>
          <w:ilvl w:val="0"/>
          <w:numId w:val="2"/>
        </w:numPr>
        <w:shd w:val="clear" w:color="auto" w:fill="FDFCFC"/>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1F1F1F"/>
          <w:sz w:val="24"/>
          <w:szCs w:val="24"/>
          <w:lang w:val="en-US"/>
        </w:rPr>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Platinum Tier Clinic: High-volume, strategic veterinary enterprise partners, designated with a specific customer classification code within the SAP Customer Master Data (KNVV).</w:t>
      </w:r>
    </w:p>
    <w:p xmlns:wp14="http://schemas.microsoft.com/office/word/2010/wordml" w:rsidP="05E3F581" wp14:paraId="2D062770" wp14:textId="7F85FC49">
      <w:pPr>
        <w:pStyle w:val="ListParagraph"/>
        <w:numPr>
          <w:ilvl w:val="0"/>
          <w:numId w:val="2"/>
        </w:numPr>
        <w:shd w:val="clear" w:color="auto" w:fill="FDFCFC"/>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1F1F1F"/>
          <w:sz w:val="24"/>
          <w:szCs w:val="24"/>
          <w:lang w:val="en-US"/>
        </w:rPr>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3PL Carrier ("Carrier"): The contracted logistics entity responsible for the physical transit of goods.</w:t>
      </w:r>
    </w:p>
    <w:p xmlns:wp14="http://schemas.microsoft.com/office/word/2010/wordml" w:rsidP="05E3F581" wp14:paraId="580DADF0" wp14:textId="7044DCA6">
      <w:pPr>
        <w:pStyle w:val="ListParagraph"/>
        <w:numPr>
          <w:ilvl w:val="0"/>
          <w:numId w:val="2"/>
        </w:numPr>
        <w:shd w:val="clear" w:color="auto" w:fill="FDFCFC"/>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1F1F1F"/>
          <w:sz w:val="24"/>
          <w:szCs w:val="24"/>
          <w:lang w:val="en-US"/>
        </w:rPr>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AI Logistics Copilot ("The Copilot"): The enterprise's proprietary orchestration engine utilizing LangGraph, XGBoost, and LLM reasoning to process live telematics (FourKites/project44) and meteorological data (OpenWeather API) to predict, flag, and manage supply chain deviations.</w:t>
      </w:r>
    </w:p>
    <w:p xmlns:wp14="http://schemas.microsoft.com/office/word/2010/wordml" w:rsidP="05E3F581" wp14:paraId="3A62373E" wp14:textId="17C5D106">
      <w:pPr>
        <w:pStyle w:val="ListParagraph"/>
        <w:numPr>
          <w:ilvl w:val="0"/>
          <w:numId w:val="2"/>
        </w:numPr>
        <w:shd w:val="clear" w:color="auto" w:fill="FDFCFC"/>
        <w:spacing w:before="0" w:beforeAutospacing="off" w:after="0" w:afterAutospacing="off" w:line="360" w:lineRule="auto"/>
        <w:rPr>
          <w:rFonts w:ascii="Times New Roman" w:hAnsi="Times New Roman" w:eastAsia="Times New Roman" w:cs="Times New Roman"/>
          <w:b w:val="0"/>
          <w:bCs w:val="0"/>
          <w:i w:val="0"/>
          <w:iCs w:val="0"/>
          <w:caps w:val="0"/>
          <w:smallCaps w:val="0"/>
          <w:noProof w:val="0"/>
          <w:color w:val="1F1F1F"/>
          <w:sz w:val="24"/>
          <w:szCs w:val="24"/>
          <w:lang w:val="en-US"/>
        </w:rPr>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Grace Period: A strictly defined, non-penalized 24-hour window immediately following the expiration of the PDD.</w:t>
      </w:r>
    </w:p>
    <w:p xmlns:wp14="http://schemas.microsoft.com/office/word/2010/wordml" w:rsidP="05E3F581" wp14:paraId="1B71BA81" wp14:textId="5FCFF396">
      <w:pPr>
        <w:pStyle w:val="Heading2"/>
        <w:shd w:val="clear" w:color="auto" w:fill="FDFCFC"/>
        <w:spacing w:before="360" w:beforeAutospacing="off" w:after="180" w:afterAutospacing="off" w:line="420" w:lineRule="auto"/>
      </w:pPr>
      <w:r w:rsidRPr="05E3F581" w:rsidR="26F15E6E">
        <w:rPr>
          <w:rFonts w:ascii="Times New Roman" w:hAnsi="Times New Roman" w:eastAsia="Times New Roman" w:cs="Times New Roman"/>
          <w:b w:val="1"/>
          <w:bCs w:val="1"/>
          <w:i w:val="0"/>
          <w:iCs w:val="0"/>
          <w:caps w:val="0"/>
          <w:smallCaps w:val="0"/>
          <w:noProof w:val="0"/>
          <w:color w:val="1F1F1F"/>
          <w:sz w:val="30"/>
          <w:szCs w:val="30"/>
          <w:lang w:val="en-US"/>
        </w:rPr>
        <w:t>4. Core Policy/SLA Clauses</w:t>
      </w:r>
    </w:p>
    <w:p xmlns:wp14="http://schemas.microsoft.com/office/word/2010/wordml" w:rsidP="05E3F581" wp14:paraId="0F493533" wp14:textId="76133A12">
      <w:pPr>
        <w:shd w:val="clear" w:color="auto" w:fill="FDFCFC"/>
        <w:spacing w:before="0" w:beforeAutospacing="off" w:after="0" w:afterAutospacing="off" w:line="360" w:lineRule="auto"/>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4.1. Delivery Execution: The Carrier is legally obligated to execute delivery of all consigned freight to the designated Platinum Tier Clinic strictly on or before the established PDD.</w:t>
      </w:r>
      <w:r>
        <w:br/>
      </w: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4.2. Condition of Freight: All freight must arrive maintaining strict temperature and moisture controls. Any breach of environmental integrity concurrently with a delay constitutes a critical failure, terminating the Grace Period immediately.</w:t>
      </w:r>
      <w:r>
        <w:br/>
      </w: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4.3. Grace Period Applicability: A maximum operational tolerance of twenty-four (24) hours past the 23:59 local time of the PDD is granted. Deliveries completed within this Grace Period shall not be subject to the Platinum Delay Penalty, provided the freight integrity is uncompromised.</w:t>
      </w:r>
      <w:r>
        <w:br/>
      </w: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4.4. Notification of Delay: The Carrier must transmit electronic delay status updates via EDI/API integration no less than four (4) hours prior to the original PDD expiration.</w:t>
      </w:r>
    </w:p>
    <w:p xmlns:wp14="http://schemas.microsoft.com/office/word/2010/wordml" w:rsidP="05E3F581" wp14:paraId="413B651E" wp14:textId="36CF9044">
      <w:pPr>
        <w:pStyle w:val="Heading2"/>
        <w:shd w:val="clear" w:color="auto" w:fill="FDFCFC"/>
        <w:spacing w:before="360" w:beforeAutospacing="off" w:after="180" w:afterAutospacing="off" w:line="420" w:lineRule="auto"/>
      </w:pPr>
      <w:r w:rsidRPr="05E3F581" w:rsidR="26F15E6E">
        <w:rPr>
          <w:rFonts w:ascii="Times New Roman" w:hAnsi="Times New Roman" w:eastAsia="Times New Roman" w:cs="Times New Roman"/>
          <w:b w:val="1"/>
          <w:bCs w:val="1"/>
          <w:i w:val="0"/>
          <w:iCs w:val="0"/>
          <w:caps w:val="0"/>
          <w:smallCaps w:val="0"/>
          <w:noProof w:val="0"/>
          <w:color w:val="1F1F1F"/>
          <w:sz w:val="30"/>
          <w:szCs w:val="30"/>
          <w:lang w:val="en-US"/>
        </w:rPr>
        <w:t>5. Financial Matrices &amp; Penalties</w:t>
      </w:r>
    </w:p>
    <w:p xmlns:wp14="http://schemas.microsoft.com/office/word/2010/wordml" w:rsidP="05E3F581" wp14:paraId="7CEAA837" wp14:textId="523FE20E">
      <w:pPr>
        <w:shd w:val="clear" w:color="auto" w:fill="FDFCFC"/>
        <w:spacing w:before="0" w:beforeAutospacing="off" w:after="0" w:afterAutospacing="off" w:line="360" w:lineRule="auto"/>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5.1. Platinum Delay Penalty: In the event that a shipment arrives at a Platinum Tier Clinic after the expiration of the 24-hour Grace Period, a strict financial penalty of $500.00 USD per calendar day (or fraction thereof) shall be assessed against the Carrier.</w:t>
      </w:r>
      <w:r>
        <w:br/>
      </w: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5.2. Deduction Mechanism: The penalty is absolute and shall be autonomously classified as a freight chargeback. The accumulated penalty amount will be automatically deducted from the Carrier’s outstanding or future remittance invoices within the SAP financial module.</w:t>
      </w:r>
      <w:r>
        <w:br/>
      </w: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5.3. Liability Cap: Total delay penalties for a single shipment shall not exceed 100% of the total freight charges for that specific shipment, excluding potential damages for spoiled goods which are governed under a separate claims agreement.</w:t>
      </w:r>
    </w:p>
    <w:p xmlns:wp14="http://schemas.microsoft.com/office/word/2010/wordml" w:rsidP="05E3F581" wp14:paraId="17D5EEAB" wp14:textId="1AFCDC52">
      <w:pPr>
        <w:pStyle w:val="Heading2"/>
        <w:shd w:val="clear" w:color="auto" w:fill="FDFCFC"/>
        <w:spacing w:before="360" w:beforeAutospacing="off" w:after="180" w:afterAutospacing="off" w:line="420" w:lineRule="auto"/>
      </w:pPr>
      <w:r w:rsidRPr="05E3F581" w:rsidR="26F15E6E">
        <w:rPr>
          <w:rFonts w:ascii="Times New Roman" w:hAnsi="Times New Roman" w:eastAsia="Times New Roman" w:cs="Times New Roman"/>
          <w:b w:val="1"/>
          <w:bCs w:val="1"/>
          <w:i w:val="0"/>
          <w:iCs w:val="0"/>
          <w:caps w:val="0"/>
          <w:smallCaps w:val="0"/>
          <w:noProof w:val="0"/>
          <w:color w:val="1F1F1F"/>
          <w:sz w:val="30"/>
          <w:szCs w:val="30"/>
          <w:lang w:val="en-US"/>
        </w:rPr>
        <w:t>6. AI &amp; Orchestration Mandates</w:t>
      </w:r>
    </w:p>
    <w:p xmlns:wp14="http://schemas.microsoft.com/office/word/2010/wordml" w:rsidP="05E3F581" wp14:paraId="26AB1B60" wp14:textId="3ED2B0AB">
      <w:pPr>
        <w:shd w:val="clear" w:color="auto" w:fill="FDFCFC"/>
        <w:spacing w:before="0" w:beforeAutospacing="off" w:after="0" w:afterAutospacing="off" w:line="360" w:lineRule="auto"/>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6.1. Autonomous Telematics Monitoring: The AI Logistics Copilot is fully authorized and integrated to ingest live API feeds from FourKites/project44.</w:t>
      </w:r>
      <w:r>
        <w:br/>
      </w: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6.2. Predictive Flagging &amp; SAP Integration: Upon predictive determination by the XGBoost models that a Platinum Tier shipment will exceed the PDD + 24-hour Grace Period, the Copilot will automatically trigger an exception workflow.</w:t>
      </w:r>
      <w:r>
        <w:br/>
      </w: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6.3. Automated Penalty Execution: Once the telematics data confirms a delivery scan timestamp exceeding the Grace Period, the Copilot is mandated to write directly to SAP, initiating the $500/day chargeback deduction against the Carrier's vendor account without requiring manual human authorization.</w:t>
      </w:r>
      <w:r>
        <w:br/>
      </w: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6.4. Escalation Protocol: Should the predicted delay exceed 48 hours, the Copilot shall autonomously generate and transmit a high-priority alert to the Regional Supply Chain Director detailing the at-risk SKUs (referenced via MARA table) and impacted clinics.</w:t>
      </w:r>
    </w:p>
    <w:p xmlns:wp14="http://schemas.microsoft.com/office/word/2010/wordml" w:rsidP="05E3F581" wp14:paraId="5C227495" wp14:textId="64E748CE">
      <w:pPr>
        <w:pStyle w:val="Heading2"/>
        <w:shd w:val="clear" w:color="auto" w:fill="FDFCFC"/>
        <w:spacing w:before="360" w:beforeAutospacing="off" w:after="180" w:afterAutospacing="off" w:line="420" w:lineRule="auto"/>
      </w:pPr>
      <w:r w:rsidRPr="05E3F581" w:rsidR="26F15E6E">
        <w:rPr>
          <w:rFonts w:ascii="Times New Roman" w:hAnsi="Times New Roman" w:eastAsia="Times New Roman" w:cs="Times New Roman"/>
          <w:b w:val="1"/>
          <w:bCs w:val="1"/>
          <w:i w:val="0"/>
          <w:iCs w:val="0"/>
          <w:caps w:val="0"/>
          <w:smallCaps w:val="0"/>
          <w:noProof w:val="0"/>
          <w:color w:val="1F1F1F"/>
          <w:sz w:val="30"/>
          <w:szCs w:val="30"/>
          <w:lang w:val="en-US"/>
        </w:rPr>
        <w:t>7. Force Majeure / Exceptions</w:t>
      </w:r>
    </w:p>
    <w:p xmlns:wp14="http://schemas.microsoft.com/office/word/2010/wordml" w:rsidP="05E3F581" wp14:paraId="57080F3A" wp14:textId="33F720E3">
      <w:pPr>
        <w:shd w:val="clear" w:color="auto" w:fill="FDFCFC"/>
        <w:spacing w:before="0" w:beforeAutospacing="off" w:after="0" w:afterAutospacing="off" w:line="360" w:lineRule="auto"/>
      </w:pP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7.1. Qualifying Events: The Carrier shall be exempt from the Platinum Delay Penalty only in the event of documented Force Majeure, explicitly limited to: severe, unpredicted natural disasters, acts of terrorism, or sudden, unannounced government road closures.</w:t>
      </w:r>
      <w:r>
        <w:br/>
      </w:r>
      <w:r w:rsidRPr="05E3F581" w:rsidR="26F15E6E">
        <w:rPr>
          <w:rFonts w:ascii="Times New Roman" w:hAnsi="Times New Roman" w:eastAsia="Times New Roman" w:cs="Times New Roman"/>
          <w:b w:val="0"/>
          <w:bCs w:val="0"/>
          <w:i w:val="0"/>
          <w:iCs w:val="0"/>
          <w:caps w:val="0"/>
          <w:smallCaps w:val="0"/>
          <w:noProof w:val="0"/>
          <w:color w:val="1F1F1F"/>
          <w:sz w:val="24"/>
          <w:szCs w:val="24"/>
          <w:lang w:val="en-US"/>
        </w:rPr>
        <w:t>7.2. AI Validation of Exceptions: Claims of weather-related Force Majeure must be corroborated by the AI Logistics Copilot. The Copilot will query historical and live data from the OpenWeather API for the specific transit route and time. If the API data does not validate a severe meteorological anomaly capable of halting commercial transport, the exception claim is automatically denied, and penalties remain binding.</w:t>
      </w:r>
    </w:p>
    <w:p xmlns:wp14="http://schemas.microsoft.com/office/word/2010/wordml" wp14:paraId="2C078E63" wp14:textId="470608E6"/>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2">
    <w:nsid w:val="22bacc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1e69b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AB2B21D"/>
    <w:rsid w:val="05E3F581"/>
    <w:rsid w:val="26F15E6E"/>
    <w:rsid w:val="6AB2B2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95415"/>
  <w15:chartTrackingRefBased/>
  <w15:docId w15:val="{B8750C04-9823-4310-979F-D5A27BD2D43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05E3F581"/>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05E3F581"/>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05E3F581"/>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501598a1c874b2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2026-08-11T10:20:34.5985935Z</dcterms:created>
  <dcterms:modified xsi:type="dcterms:W3CDTF">2026-08-11T10:21:20.8786587Z</dcterms:modified>
  <dc:creator>SATHISH S</dc:creator>
  <lastModifiedBy>SATHISH S</lastModifiedBy>
</coreProperties>
</file>