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2B407F" wp14:paraId="5288C3A9" wp14:textId="4B7BDBA2">
      <w:pPr>
        <w:pStyle w:val="Heading1"/>
        <w:shd w:val="clear" w:color="auto" w:fill="FDFCFC"/>
        <w:spacing w:before="360" w:beforeAutospacing="off" w:after="24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2D2B407F" wp14:paraId="17D3F195" wp14:textId="4C099DA7">
      <w:pPr>
        <w:pStyle w:val="Heading2"/>
        <w:shd w:val="clear" w:color="auto" w:fill="FDFCFC"/>
        <w:spacing w:before="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2D2B407F" wp14:paraId="46FFE27F" wp14:textId="7D8547C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Document Title: Specialty Diet Stock-Out Mitigation &amp; Expedited Replacement Protocol</w:t>
      </w:r>
    </w:p>
    <w:p xmlns:wp14="http://schemas.microsoft.com/office/word/2010/wordml" w:rsidP="2D2B407F" wp14:paraId="29FDC4F4" wp14:textId="661237AC">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Document ID: SLA-LOG-VNS-0019</w:t>
      </w:r>
    </w:p>
    <w:p xmlns:wp14="http://schemas.microsoft.com/office/word/2010/wordml" w:rsidP="2D2B407F" wp14:paraId="173E460D" wp14:textId="558C3BA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2D2B407F" wp14:paraId="0DD83B59" wp14:textId="0417A67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Clinical Operations, &amp; Procurement</w:t>
      </w:r>
    </w:p>
    <w:p xmlns:wp14="http://schemas.microsoft.com/office/word/2010/wordml" w:rsidP="2D2B407F" wp14:paraId="20C90ED6" wp14:textId="2389D4B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2D2B407F" wp14:paraId="6941A9A9" wp14:textId="6EBE0DB0">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2D2B407F" wp14:paraId="348C5D22" wp14:textId="5CE45BEC">
      <w:pPr>
        <w:shd w:val="clear" w:color="auto" w:fill="FDFCFC"/>
        <w:spacing w:before="0" w:beforeAutospacing="off" w:after="0" w:afterAutospacing="off"/>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emergency protocols required when the delivery of critical prescription veterinary nutrition (e.g., acute renal, hepatic, or gastrointestinal support diets) is severely compromised. Unlike maintenance diets, an interruption in the supply of these medical-grade formulas presents an immediate, life-threatening risk to animal patients and exposes the Enterprise to severe veterinary malpractice liabilities. This document empowers the Enterprise to take immediate, unilateral action to prevent clinic stock-outs via automated financial authorizations and expedited alternative shipping, while assigning the financial burden of these emergency interventions to the at-fault Third-Party Logistics ("3PL") Carrier.</w:t>
      </w:r>
    </w:p>
    <w:p xmlns:wp14="http://schemas.microsoft.com/office/word/2010/wordml" w:rsidP="2D2B407F" wp14:paraId="779876ED" wp14:textId="63423FCD">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2D2B407F" wp14:paraId="16A653CD" wp14:textId="63EA0AB6">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Specialty Diet Material: Highly critical prescription pet foods explicitly flagged by specific Material Group or Product Hierarchy codes within the SAP Material Master data (MARA table).</w:t>
      </w:r>
    </w:p>
    <w:p xmlns:wp14="http://schemas.microsoft.com/office/word/2010/wordml" w:rsidP="2D2B407F" wp14:paraId="646F8C0F" wp14:textId="38DEB480">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Critical Delay Threshold: A confirmed or predictive transit delay exceeding forty-eight (48) hours past the original SAP Promised Delivery Date (PDD).</w:t>
      </w:r>
    </w:p>
    <w:p xmlns:wp14="http://schemas.microsoft.com/office/word/2010/wordml" w:rsidP="2D2B407F" wp14:paraId="4A1D5A10" wp14:textId="37527D2B">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Expedited Mitigation Freight: Emergency transportation services (e.g., Next-Flight-Out air courier, dedicated Sprinter van, or expedited LTL) deployed to immediately bypass the failing primary Carrier.</w:t>
      </w:r>
    </w:p>
    <w:p xmlns:wp14="http://schemas.microsoft.com/office/word/2010/wordml" w:rsidP="2D2B407F" wp14:paraId="3CE0E110" wp14:textId="7892CB86">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Auto-Authorized Mitigation Budget: A pre-approved, autonomous financial release of up to $1,000.00 USD specifically allocated to secure Expedited Mitigation Freight.</w:t>
      </w:r>
    </w:p>
    <w:p xmlns:wp14="http://schemas.microsoft.com/office/word/2010/wordml" w:rsidP="2D2B407F" wp14:paraId="0D11F49D" wp14:textId="050BDA48">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2D2B407F" wp14:paraId="20B1CBBD" wp14:textId="47C7C5B9">
      <w:pPr>
        <w:shd w:val="clear" w:color="auto" w:fill="FDFCFC"/>
        <w:spacing w:before="0" w:beforeAutospacing="off" w:after="0" w:afterAutospacing="off" w:line="360" w:lineRule="auto"/>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4.1. Primacy of Patient Health: The Enterprise reserves the absolute right to intervene in any delayed shipment containing Specialty Diet Materials to ensure continuity of patient care, superseding the primary Carrier's right to complete the delayed transit.</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4.2. Mandatory Stock-Out Prevention: Upon breaching the Critical Delay Threshold, Enterprise Logistics Planners are mandated to execute an immediate replacement shipment of the affected Specialty Diet SKUs to the receiving clinic to prevent total stock depletion.</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4.3. Primary Carrier Subordination: Once an Expedited Mitigation Freight action is triggered, the original Carrier must comply with Enterprise directives regarding the delayed freight, which may include immediate return to the origin facility or authorized disposal, depending on temperature exposure risks.</w:t>
      </w:r>
    </w:p>
    <w:p xmlns:wp14="http://schemas.microsoft.com/office/word/2010/wordml" w:rsidP="2D2B407F" wp14:paraId="33FC92A4" wp14:textId="46B5FCBD">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2D2B407F" wp14:paraId="679D7A96" wp14:textId="2351BBCE">
      <w:pPr>
        <w:shd w:val="clear" w:color="auto" w:fill="FDFCFC"/>
        <w:spacing w:before="0" w:beforeAutospacing="off" w:after="0" w:afterAutospacing="off" w:line="360" w:lineRule="auto"/>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5.1. Critical Care Recovery Chargeback: The primary Carrier responsible for the Critical Delay shall be held financially liable for the costs associated with the emergency intervention. The exact cost of the Expedited Mitigation Freight—up to a maximum cap of $1,000.00 USD—shall be assessed as a chargeback deduction against the primary Carrier.</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5.2. Forfeiture of Original Freight: In addition to the Recovery Chargeback, the primary Carrier forfeits all rights to bill the Enterprise for the original, failed line-haul and accessorial charges.</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5.3. Enterprise Budget Cap: Logistics Planners are strictly authorized to spend up to the $1,000.00 limit per incident without requiring manual Director-level approval. Any emergency routing exceeding this cap requires manual financial override.</w:t>
      </w:r>
    </w:p>
    <w:p xmlns:wp14="http://schemas.microsoft.com/office/word/2010/wordml" w:rsidP="2D2B407F" wp14:paraId="5A229391" wp14:textId="14154EB6">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2D2B407F" wp14:paraId="3BD5B76C" wp14:textId="490D2164">
      <w:pPr>
        <w:shd w:val="clear" w:color="auto" w:fill="FDFCFC"/>
        <w:spacing w:before="0" w:beforeAutospacing="off" w:after="0" w:afterAutospacing="off" w:line="360" w:lineRule="auto"/>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6.1. Autonomous Material Cross-Referencing: The AI Logistics Copilot continuously cross-references active shipment contents (SAP LIKP/LIPS tables) against the SAP Material Master (MARA). If an active shipment contains SKUs flagged as "Specialty Diet", the Copilot assigns the shipment a "Critical Medical Priority" monitoring status.</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6.2. Predictive Triggering: Utilizing XGBoost models and FourKites telematics, if the Copilot predicts a delay exceeding the 48-hour Critical Delay Threshold, it immediately initiates the Mitigation Workflow.</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6.3. Automated Budget Release &amp; Planner Authorization: The Copilot's LangGraph nodes will autonomously unlock a $1,000.00 cost center budget. It will simultaneously issue a high-priority, actionable alert to the regional Logistics Planner, legally authorizing them to book Expedited Mitigation Freight immediately.</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6.4. SAP Order Generation: Concurrently, the Copilot’s LLM engine will automatically generate a replacement Sales Order in SAP with a zero-dollar value to the clinic, flag it for emergency warehouse picking, and route the replacement pallet to the expedited outbound dock.</w:t>
      </w:r>
    </w:p>
    <w:p xmlns:wp14="http://schemas.microsoft.com/office/word/2010/wordml" w:rsidP="2D2B407F" wp14:paraId="4E497DBE" wp14:textId="1401AA33">
      <w:pPr>
        <w:pStyle w:val="Heading2"/>
        <w:shd w:val="clear" w:color="auto" w:fill="FDFCFC"/>
        <w:spacing w:before="360" w:beforeAutospacing="off" w:after="180" w:afterAutospacing="off" w:line="420" w:lineRule="auto"/>
      </w:pPr>
      <w:r w:rsidRPr="2D2B407F" w:rsidR="7941900B">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2D2B407F" wp14:paraId="2991CA79" wp14:textId="39EF3CE2">
      <w:pPr>
        <w:shd w:val="clear" w:color="auto" w:fill="FDFCFC"/>
        <w:spacing w:before="0" w:beforeAutospacing="off" w:after="0" w:afterAutospacing="off" w:line="360" w:lineRule="auto"/>
      </w:pP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7.1. Qualifying Carrier Exceptions: The primary Carrier is exempt from the Critical Care Recovery Chargeback (up to $1,000) only if the 48-hour delay is directly attributable to verified Force Majeure (e.g., severe natural disaster halting all regional logistics) or if the Enterprise facility originally dispatched the freight late.</w:t>
      </w:r>
      <w:r>
        <w:br/>
      </w:r>
      <w:r w:rsidRPr="2D2B407F" w:rsidR="7941900B">
        <w:rPr>
          <w:rFonts w:ascii="Times New Roman" w:hAnsi="Times New Roman" w:eastAsia="Times New Roman" w:cs="Times New Roman"/>
          <w:b w:val="0"/>
          <w:bCs w:val="0"/>
          <w:i w:val="0"/>
          <w:iCs w:val="0"/>
          <w:caps w:val="0"/>
          <w:smallCaps w:val="0"/>
          <w:noProof w:val="0"/>
          <w:color w:val="1F1F1F"/>
          <w:sz w:val="24"/>
          <w:szCs w:val="24"/>
          <w:lang w:val="en-US"/>
        </w:rPr>
        <w:t>7.2. Algorithmic Inventory Verification: The AI Logistics Copilot will verify the availability of backup inventory in the SAP Storage Location data (MARD). If the Copilot determines that the Enterprise possesses zero physical safety stock to execute the replacement shipment, the automated $1,000 authorization is suppressed, and alternative veterinary clinical protocols must be communicated to the consignee.</w:t>
      </w:r>
    </w:p>
    <w:p xmlns:wp14="http://schemas.microsoft.com/office/word/2010/wordml" wp14:paraId="2C078E63" wp14:textId="41C9BD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6b26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c1d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df8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61AEA0"/>
    <w:rsid w:val="2A61AEA0"/>
    <w:rsid w:val="2D2B407F"/>
    <w:rsid w:val="36EE285E"/>
    <w:rsid w:val="79419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E573"/>
  <w15:chartTrackingRefBased/>
  <w15:docId w15:val="{0AB4415C-2A84-4749-8245-7DD9F9F5E1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2B407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2B407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D2B407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c377b029b347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2026-08-11T10:45:54.6764975Z</dcterms:created>
  <dcterms:modified xsi:type="dcterms:W3CDTF">2026-08-11T10:47:55.4158472Z</dcterms:modified>
  <dc:creator>SATHISH S</dc:creator>
  <lastModifiedBy>SATHISH S</lastModifiedBy>
</coreProperties>
</file>