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6D0C3E" wp14:paraId="68F38C91" wp14:textId="2C06110A">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Document ID: QA-SOP-2026-013-CUSTODY</w:t>
      </w:r>
    </w:p>
    <w:p xmlns:wp14="http://schemas.microsoft.com/office/word/2010/wordml" w:rsidP="206D0C3E" wp14:paraId="5C272D48" wp14:textId="30332859">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Target SAP Material Class: All Medical-Grade Veterinary Nutrition (</w:t>
      </w:r>
      <w:r w:rsidRPr="206D0C3E" w:rsidR="71259DA8">
        <w:rPr>
          <w:rFonts w:ascii="Consolas" w:hAnsi="Consolas" w:eastAsia="Consolas" w:cs="Consolas"/>
          <w:b w:val="0"/>
          <w:bCs w:val="0"/>
          <w:i w:val="0"/>
          <w:iCs w:val="0"/>
          <w:caps w:val="0"/>
          <w:smallCaps w:val="0"/>
          <w:noProof w:val="0"/>
          <w:color w:val="1F1F1F"/>
          <w:sz w:val="24"/>
          <w:szCs w:val="24"/>
          <w:lang w:val="en-US"/>
        </w:rPr>
        <w:t>MARA-MATKL</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 = VET_DRY / VET_WET)</w:t>
      </w:r>
    </w:p>
    <w:p xmlns:wp14="http://schemas.microsoft.com/office/word/2010/wordml" w:rsidP="206D0C3E" wp14:paraId="1E3BACB9" wp14:textId="385EE4C1">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 (Co-Signed: VP of Logistics Compliance)</w:t>
      </w:r>
    </w:p>
    <w:p xmlns:wp14="http://schemas.microsoft.com/office/word/2010/wordml" w:rsidP="206D0C3E" wp14:paraId="2A8EDA9C" wp14:textId="35257BDF">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206D0C3E" wp14:paraId="78ACF5A0" wp14:textId="6D6E13A1">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206D0C3E" w:rsidR="71259DA8">
        <w:rPr>
          <w:rFonts w:ascii="Consolas" w:hAnsi="Consolas" w:eastAsia="Consolas" w:cs="Consolas"/>
          <w:b w:val="0"/>
          <w:bCs w:val="0"/>
          <w:i w:val="0"/>
          <w:iCs w:val="0"/>
          <w:caps w:val="0"/>
          <w:smallCaps w:val="0"/>
          <w:noProof w:val="0"/>
          <w:color w:val="1F1F1F"/>
          <w:sz w:val="24"/>
          <w:szCs w:val="24"/>
          <w:lang w:val="en-US"/>
        </w:rPr>
        <w:t>VTTK</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 Carrier ID Verification &amp; GPS Telemetry Disconnect Algorithms)</w:t>
      </w:r>
    </w:p>
    <w:p xmlns:wp14="http://schemas.microsoft.com/office/word/2010/wordml" wp14:paraId="1BF40976" wp14:textId="5DC3AAE8"/>
    <w:p xmlns:wp14="http://schemas.microsoft.com/office/word/2010/wordml" w:rsidP="206D0C3E" wp14:paraId="304A34A8" wp14:textId="11BE3360">
      <w:pPr>
        <w:pStyle w:val="Heading3"/>
        <w:shd w:val="clear" w:color="auto" w:fill="FDFCFC"/>
        <w:spacing w:before="360" w:beforeAutospacing="off" w:after="180" w:afterAutospacing="off" w:line="360" w:lineRule="auto"/>
      </w:pPr>
      <w:r w:rsidRPr="206D0C3E" w:rsidR="71259DA8">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206D0C3E" wp14:paraId="4CF3479A" wp14:textId="0DCE9698">
      <w:pPr>
        <w:shd w:val="clear" w:color="auto" w:fill="FDFCFC"/>
        <w:spacing w:before="0" w:beforeAutospacing="off" w:after="0" w:afterAutospacing="off"/>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establishes the absolute zero-tolerance bio-security protocols concerning the unauthorized transfer of medical-grade veterinary nutrition. The Enterprise maintains a highly controlled, closed-loop supply chain, utilizing only audited, contracted, and bio-security-trained 3PL Carriers. The unauthorized "double-brokering" or unapproved transloading of therapeutic diets to unvetted sub-contractors fatally severs the verified chain of custody. Such actions introduce catastrophic "blind spots" where the freight may be subjected to undocumented thermal abuse, chemical cross-contamination, pest exposure, or intentional adulteration. The Enterprise AI Logistics Copilot is strictly authorized to instantly embargo and permanently condemn any shipment subjected to an unapproved transfer of custody to ensure absolute patient safety and brand integrity.</w:t>
      </w:r>
    </w:p>
    <w:p xmlns:wp14="http://schemas.microsoft.com/office/word/2010/wordml" wp14:paraId="7431138B" wp14:textId="734030A5"/>
    <w:p xmlns:wp14="http://schemas.microsoft.com/office/word/2010/wordml" w:rsidP="206D0C3E" wp14:paraId="76CF2704" wp14:textId="672DAF35">
      <w:pPr>
        <w:pStyle w:val="Heading3"/>
        <w:shd w:val="clear" w:color="auto" w:fill="FDFCFC"/>
        <w:spacing w:before="360" w:beforeAutospacing="off" w:after="180" w:afterAutospacing="off" w:line="360" w:lineRule="auto"/>
      </w:pPr>
      <w:r w:rsidRPr="206D0C3E" w:rsidR="71259DA8">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206D0C3E" wp14:paraId="520B35DC" wp14:textId="033E0727">
      <w:pPr>
        <w:shd w:val="clear" w:color="auto" w:fill="FDFCFC"/>
        <w:spacing w:before="0" w:beforeAutospacing="off" w:after="0" w:afterAutospacing="off"/>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legal definitions apply:</w:t>
      </w:r>
    </w:p>
    <w:p xmlns:wp14="http://schemas.microsoft.com/office/word/2010/wordml" w:rsidP="206D0C3E" wp14:paraId="1E841C84" wp14:textId="256114EB">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Verified Chain of Custody: The unbroken, documented physical control of freight by the specific, vetted Carrier explicitly assigned to the shipment in the SAP ERP system (SAP Table: </w:t>
      </w:r>
      <w:r w:rsidRPr="206D0C3E" w:rsidR="71259DA8">
        <w:rPr>
          <w:rFonts w:ascii="Consolas" w:hAnsi="Consolas" w:eastAsia="Consolas" w:cs="Consolas"/>
          <w:b w:val="0"/>
          <w:bCs w:val="0"/>
          <w:i w:val="0"/>
          <w:iCs w:val="0"/>
          <w:caps w:val="0"/>
          <w:smallCaps w:val="0"/>
          <w:noProof w:val="0"/>
          <w:color w:val="1F1F1F"/>
          <w:sz w:val="24"/>
          <w:szCs w:val="24"/>
          <w:lang w:val="en-US"/>
        </w:rPr>
        <w:t>LFA1</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 mapped to </w:t>
      </w:r>
      <w:r w:rsidRPr="206D0C3E" w:rsidR="71259DA8">
        <w:rPr>
          <w:rFonts w:ascii="Consolas" w:hAnsi="Consolas" w:eastAsia="Consolas" w:cs="Consolas"/>
          <w:b w:val="0"/>
          <w:bCs w:val="0"/>
          <w:i w:val="0"/>
          <w:iCs w:val="0"/>
          <w:caps w:val="0"/>
          <w:smallCaps w:val="0"/>
          <w:noProof w:val="0"/>
          <w:color w:val="1F1F1F"/>
          <w:sz w:val="24"/>
          <w:szCs w:val="24"/>
          <w:lang w:val="en-US"/>
        </w:rPr>
        <w:t>VTTK-LIFNR</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06D0C3E" wp14:paraId="02A85732" wp14:textId="3C8CA550">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Unapproved Transloading (Double-Brokering): The material breach of contract wherein the assigned Carrier physical transfers the medical freight to an unapproved, un-audited third-party carrier, independent owner-operator, or shadow logistics network without explicit written authorization from Enterprise Logistics Compliance.</w:t>
      </w:r>
    </w:p>
    <w:p xmlns:wp14="http://schemas.microsoft.com/office/word/2010/wordml" w:rsidP="206D0C3E" wp14:paraId="3019ACDD" wp14:textId="316E4AA7">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Bio-Security Blind Spot Hazard: The unquantifiable biological and toxicological risk introduced when medical freight is handled in undocumented environments, nullifying all guarantees of trailer integrity, temperature control, and hazmat separation.</w:t>
      </w:r>
    </w:p>
    <w:p xmlns:wp14="http://schemas.microsoft.com/office/word/2010/wordml" w:rsidP="206D0C3E" wp14:paraId="22B1AEC4" wp14:textId="6EA34D4E">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Bio-Security Embargo (CRITICAL QA HOLD): An immediate, highest-priority legal and biological quarantine placed on a shipment. Freight under a Bio-Security Embargo is treated as potentially adulterated and is strictly prohibited from entering clinical inventory.</w:t>
      </w:r>
    </w:p>
    <w:p xmlns:wp14="http://schemas.microsoft.com/office/word/2010/wordml" wp14:paraId="04026C08" wp14:textId="6E110F49"/>
    <w:p xmlns:wp14="http://schemas.microsoft.com/office/word/2010/wordml" w:rsidP="206D0C3E" wp14:paraId="63244A76" wp14:textId="69A504CB">
      <w:pPr>
        <w:pStyle w:val="Heading3"/>
        <w:shd w:val="clear" w:color="auto" w:fill="FDFCFC"/>
        <w:spacing w:before="360" w:beforeAutospacing="off" w:after="180" w:afterAutospacing="off" w:line="360" w:lineRule="auto"/>
      </w:pPr>
      <w:r w:rsidRPr="206D0C3E" w:rsidR="71259DA8">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206D0C3E" wp14:paraId="4420FF5E" wp14:textId="1286A4F1">
      <w:pPr>
        <w:shd w:val="clear" w:color="auto" w:fill="FDFCFC"/>
        <w:spacing w:before="0" w:beforeAutospacing="off" w:after="0" w:afterAutospacing="off"/>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Bio-Security Embargo and execute Condemnation protocols if EITHER of the following data thresholds is met:</w:t>
      </w:r>
    </w:p>
    <w:p xmlns:wp14="http://schemas.microsoft.com/office/word/2010/wordml" w:rsidP="206D0C3E" wp14:paraId="25DA26F5" wp14:textId="6D7F7B5C">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Carrier Identity Mismatch: Upon arrival at the destination clinic (</w:t>
      </w:r>
      <w:r w:rsidRPr="206D0C3E" w:rsidR="71259DA8">
        <w:rPr>
          <w:rFonts w:ascii="Consolas" w:hAnsi="Consolas" w:eastAsia="Consolas" w:cs="Consolas"/>
          <w:b w:val="0"/>
          <w:bCs w:val="0"/>
          <w:i w:val="0"/>
          <w:iCs w:val="0"/>
          <w:caps w:val="0"/>
          <w:smallCaps w:val="0"/>
          <w:noProof w:val="0"/>
          <w:color w:val="1F1F1F"/>
          <w:sz w:val="24"/>
          <w:szCs w:val="24"/>
          <w:lang w:val="en-US"/>
        </w:rPr>
        <w:t>KNA1</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the receiving staff logs the delivering Carrier's DOT number or company name into the Electronic Proof of Delivery (ePOD) portal, and the AI Copilot algorithmically determines it does not match the assigned Vendor ID (</w:t>
      </w:r>
      <w:r w:rsidRPr="206D0C3E" w:rsidR="71259DA8">
        <w:rPr>
          <w:rFonts w:ascii="Consolas" w:hAnsi="Consolas" w:eastAsia="Consolas" w:cs="Consolas"/>
          <w:b w:val="0"/>
          <w:bCs w:val="0"/>
          <w:i w:val="0"/>
          <w:iCs w:val="0"/>
          <w:caps w:val="0"/>
          <w:smallCaps w:val="0"/>
          <w:noProof w:val="0"/>
          <w:color w:val="1F1F1F"/>
          <w:sz w:val="24"/>
          <w:szCs w:val="24"/>
          <w:lang w:val="en-US"/>
        </w:rPr>
        <w:t>VTTK-LIFNR</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06D0C3E" wp14:paraId="3AB78671" wp14:textId="3015E50A">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API Telematics Anomaly (Shadow Transfer): The AI Copilot detects a prolonged, unauthorized stationary dwell event at a known unvetted cross-dock facility, followed by a permanent severing of the assigned Carrier’s API telematics signal (e.g., FourKites), indicating the freight was moved to an untracked shadow truck.</w:t>
      </w:r>
    </w:p>
    <w:p xmlns:wp14="http://schemas.microsoft.com/office/word/2010/wordml" wp14:paraId="67D0713A" wp14:textId="446FCE6A"/>
    <w:p xmlns:wp14="http://schemas.microsoft.com/office/word/2010/wordml" w:rsidP="206D0C3E" wp14:paraId="2E3508A6" wp14:textId="1DC06FCE">
      <w:pPr>
        <w:pStyle w:val="Heading3"/>
        <w:shd w:val="clear" w:color="auto" w:fill="FDFCFC"/>
        <w:spacing w:before="360" w:beforeAutospacing="off" w:after="180" w:afterAutospacing="off" w:line="360" w:lineRule="auto"/>
      </w:pPr>
      <w:r w:rsidRPr="206D0C3E" w:rsidR="71259DA8">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206D0C3E" wp14:paraId="588CD5F4" wp14:textId="763D1D61">
      <w:pPr>
        <w:shd w:val="clear" w:color="auto" w:fill="FDFCFC"/>
        <w:spacing w:before="0" w:beforeAutospacing="off" w:after="0" w:afterAutospacing="off"/>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Unapproved Transloading alert, the following critical operational mandates take immediate effect:</w:t>
      </w:r>
    </w:p>
    <w:p xmlns:wp14="http://schemas.microsoft.com/office/word/2010/wordml" w:rsidP="206D0C3E" wp14:paraId="206918CF" wp14:textId="06070B96">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Systemic Embargo &amp; Quarantine: The AI Copilot shall autonomously apply an irreversible Delivery Block (</w:t>
      </w:r>
      <w:r w:rsidRPr="206D0C3E" w:rsidR="71259DA8">
        <w:rPr>
          <w:rFonts w:ascii="Consolas" w:hAnsi="Consolas" w:eastAsia="Consolas" w:cs="Consolas"/>
          <w:b w:val="0"/>
          <w:bCs w:val="0"/>
          <w:i w:val="0"/>
          <w:iCs w:val="0"/>
          <w:caps w:val="0"/>
          <w:smallCaps w:val="0"/>
          <w:noProof w:val="0"/>
          <w:color w:val="1F1F1F"/>
          <w:sz w:val="24"/>
          <w:szCs w:val="24"/>
          <w:lang w:val="en-US"/>
        </w:rPr>
        <w:t>VBAK-LIFSK</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preventing commercial receipt.</w:t>
      </w:r>
    </w:p>
    <w:p xmlns:wp14="http://schemas.microsoft.com/office/word/2010/wordml" w:rsidP="206D0C3E" wp14:paraId="4E8749F8" wp14:textId="2A2D5EB4">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1"/>
          <w:iCs w:val="1"/>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Mandatory Clinic Rejection Directive: The Copilot shall transmit an automated, flashing directive to the clinic receiving staff: </w:t>
      </w:r>
      <w:r w:rsidRPr="206D0C3E" w:rsidR="71259DA8">
        <w:rPr>
          <w:rFonts w:ascii="Times New Roman" w:hAnsi="Times New Roman" w:eastAsia="Times New Roman" w:cs="Times New Roman"/>
          <w:b w:val="0"/>
          <w:bCs w:val="0"/>
          <w:i w:val="1"/>
          <w:iCs w:val="1"/>
          <w:caps w:val="0"/>
          <w:smallCaps w:val="0"/>
          <w:noProof w:val="0"/>
          <w:color w:val="1F1F1F"/>
          <w:sz w:val="24"/>
          <w:szCs w:val="24"/>
          <w:lang w:val="en-US"/>
        </w:rPr>
        <w:t>"CRITICAL BIO-SECURITY ALERT: UNAUTHORIZED CARRIER DETECTED. DO NOT ACCEPT FREIGHT. REFUSE DELIVERY AND QUARANTINE TRAILER AT DOCK."</w:t>
      </w:r>
    </w:p>
    <w:p xmlns:wp14="http://schemas.microsoft.com/office/word/2010/wordml" w:rsidP="206D0C3E" wp14:paraId="0C195EE5" wp14:textId="4FE47DB9">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Global Security Escalation: The Copilot will automatically alert the Enterprise Global Security Operations Center (GSOC) and the Director of Bio-Safety to investigate the unauthorized transfer and potential gray-market diversion attempts.</w:t>
      </w:r>
    </w:p>
    <w:p xmlns:wp14="http://schemas.microsoft.com/office/word/2010/wordml" wp14:paraId="51B3CCC9" wp14:textId="45EA6B3E"/>
    <w:p xmlns:wp14="http://schemas.microsoft.com/office/word/2010/wordml" w:rsidP="206D0C3E" wp14:paraId="34BE5D51" wp14:textId="1EA429F4">
      <w:pPr>
        <w:pStyle w:val="Heading3"/>
        <w:shd w:val="clear" w:color="auto" w:fill="FDFCFC"/>
        <w:spacing w:before="360" w:beforeAutospacing="off" w:after="180" w:afterAutospacing="off" w:line="360" w:lineRule="auto"/>
      </w:pPr>
      <w:r w:rsidRPr="206D0C3E" w:rsidR="71259DA8">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206D0C3E" wp14:paraId="4B717BE2" wp14:textId="58C73839">
      <w:pPr>
        <w:shd w:val="clear" w:color="auto" w:fill="FDFCFC"/>
        <w:spacing w:before="0" w:beforeAutospacing="off" w:after="0" w:afterAutospacing="off"/>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cannot be guaranteed once the verified chain of custody is broken. The following strict condemnation protocols apply:</w:t>
      </w:r>
    </w:p>
    <w:p xmlns:wp14="http://schemas.microsoft.com/office/word/2010/wordml" w:rsidP="206D0C3E" wp14:paraId="174B56F8" wp14:textId="3B6ACCBD">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Zero-Tolerance Condemnation: Because the environmental exposure, thermal history, and chemical proximity of the unvetted sub-contractor’s trailer are unknown and unverifiable, the Enterprise QA Inspector shall officially declare the </w:t>
      </w:r>
      <w:r w:rsidRPr="206D0C3E" w:rsidR="71259DA8">
        <w:rPr>
          <w:rFonts w:ascii="Times New Roman" w:hAnsi="Times New Roman" w:eastAsia="Times New Roman" w:cs="Times New Roman"/>
          <w:b w:val="0"/>
          <w:bCs w:val="0"/>
          <w:i w:val="1"/>
          <w:iCs w:val="1"/>
          <w:caps w:val="0"/>
          <w:smallCaps w:val="0"/>
          <w:noProof w:val="0"/>
          <w:color w:val="1F1F1F"/>
          <w:sz w:val="24"/>
          <w:szCs w:val="24"/>
          <w:lang w:val="en-US"/>
        </w:rPr>
        <w:t>entire</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 trailer load 100% Condemned. No laboratory testing is required; the administrative breach of custody is sufficient for total condemnation.</w:t>
      </w:r>
    </w:p>
    <w:p xmlns:wp14="http://schemas.microsoft.com/office/word/2010/wordml" w:rsidP="206D0C3E" wp14:paraId="33B34650" wp14:textId="7CA09B19">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Bio-Secure Disposal Mandate: Freight subjected to a severed chain of custody is treated as potentially adulterated. The cargo must be transported via secure chain-of-custody to a certified facility for Bio-Secure Deep Incineration. It must absolutely never enter any commercial, liquidation, or agricultural feed channels.</w:t>
      </w:r>
    </w:p>
    <w:p xmlns:wp14="http://schemas.microsoft.com/office/word/2010/wordml" w:rsidP="206D0C3E" wp14:paraId="5392390A" wp14:textId="32EF76AF">
      <w:pPr>
        <w:pStyle w:val="ListParagraph"/>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Punitive Carrier Financial Liability: Unapproved transloading constitutes gross negligence and a catastrophic, premeditated breach of the Master Vendor Agreement. Upon Condemnation, the AI Copilot is authorized to automatically execute a punitive financial chargeback against the </w:t>
      </w:r>
      <w:r w:rsidRPr="206D0C3E" w:rsidR="71259DA8">
        <w:rPr>
          <w:rFonts w:ascii="Times New Roman" w:hAnsi="Times New Roman" w:eastAsia="Times New Roman" w:cs="Times New Roman"/>
          <w:b w:val="0"/>
          <w:bCs w:val="0"/>
          <w:i w:val="1"/>
          <w:iCs w:val="1"/>
          <w:caps w:val="0"/>
          <w:smallCaps w:val="0"/>
          <w:noProof w:val="0"/>
          <w:color w:val="1F1F1F"/>
          <w:sz w:val="24"/>
          <w:szCs w:val="24"/>
          <w:lang w:val="en-US"/>
        </w:rPr>
        <w:t>original, contracted Carrier</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xml:space="preserve"> (</w:t>
      </w:r>
      <w:r w:rsidRPr="206D0C3E" w:rsidR="71259DA8">
        <w:rPr>
          <w:rFonts w:ascii="Consolas" w:hAnsi="Consolas" w:eastAsia="Consolas" w:cs="Consolas"/>
          <w:b w:val="0"/>
          <w:bCs w:val="0"/>
          <w:i w:val="0"/>
          <w:iCs w:val="0"/>
          <w:caps w:val="0"/>
          <w:smallCaps w:val="0"/>
          <w:noProof w:val="0"/>
          <w:color w:val="1F1F1F"/>
          <w:sz w:val="24"/>
          <w:szCs w:val="24"/>
          <w:lang w:val="en-US"/>
        </w:rPr>
        <w:t>VTTK-LIFNR</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The Carrier shall be billed for 100% of the commercial invoice value of the entire load, explicitly calculated using the Net Value field (</w:t>
      </w:r>
      <w:r w:rsidRPr="206D0C3E" w:rsidR="71259DA8">
        <w:rPr>
          <w:rFonts w:ascii="Consolas" w:hAnsi="Consolas" w:eastAsia="Consolas" w:cs="Consolas"/>
          <w:b w:val="0"/>
          <w:bCs w:val="0"/>
          <w:i w:val="0"/>
          <w:iCs w:val="0"/>
          <w:caps w:val="0"/>
          <w:smallCaps w:val="0"/>
          <w:noProof w:val="0"/>
          <w:color w:val="1F1F1F"/>
          <w:sz w:val="24"/>
          <w:szCs w:val="24"/>
          <w:lang w:val="en-US"/>
        </w:rPr>
        <w:t>VBAK-NETWR</w:t>
      </w:r>
      <w:r w:rsidRPr="206D0C3E" w:rsidR="71259DA8">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 and a severe legal penalty for breach of contract.</w:t>
      </w:r>
    </w:p>
    <w:p xmlns:wp14="http://schemas.microsoft.com/office/word/2010/wordml" wp14:paraId="2C078E63" wp14:textId="6CF317B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AC354E"/>
    <w:rsid w:val="206D0C3E"/>
    <w:rsid w:val="4BAC354E"/>
    <w:rsid w:val="71259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0171"/>
  <w15:chartTrackingRefBased/>
  <w15:docId w15:val="{7F9895FA-58D7-4465-9A86-21B760055E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06D0C3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6D0C3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2026-08-21T08:54:29.3868540Z</dcterms:created>
  <dcterms:modified xsi:type="dcterms:W3CDTF">2026-08-21T08:55:13.5819014Z</dcterms:modified>
  <dc:creator>SATHISH S</dc:creator>
  <lastModifiedBy>SATHISH S</lastModifiedBy>
</coreProperties>
</file>