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A423AF" wp14:paraId="778D7332" wp14:textId="5DCB0D32">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Document ID: QA-SOP-2026-008-ODOR</w:t>
      </w:r>
    </w:p>
    <w:p xmlns:wp14="http://schemas.microsoft.com/office/word/2010/wordml" w:rsidP="1FA423AF" wp14:paraId="65FB3AFF" wp14:textId="5C23BB4B">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Target SAP Material Class: All Veterinary Nutrition (Dry &amp; Canned) (</w:t>
      </w:r>
      <w:r w:rsidRPr="1FA423AF" w:rsidR="18FAFAFF">
        <w:rPr>
          <w:rFonts w:ascii="Consolas" w:hAnsi="Consolas" w:eastAsia="Consolas" w:cs="Consolas"/>
          <w:b w:val="0"/>
          <w:bCs w:val="0"/>
          <w:i w:val="0"/>
          <w:iCs w:val="0"/>
          <w:caps w:val="0"/>
          <w:smallCaps w:val="0"/>
          <w:noProof w:val="0"/>
          <w:color w:val="1F1F1F"/>
          <w:sz w:val="24"/>
          <w:szCs w:val="24"/>
          <w:lang w:val="en-US"/>
        </w:rPr>
        <w:t>MARA-MATKL</w:t>
      </w: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 xml:space="preserve"> = VET_DRY / VET_WET)</w:t>
      </w:r>
    </w:p>
    <w:p xmlns:wp14="http://schemas.microsoft.com/office/word/2010/wordml" w:rsidP="1FA423AF" wp14:paraId="3AE58038" wp14:textId="6A4FA9B7">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w:t>
      </w:r>
    </w:p>
    <w:p xmlns:wp14="http://schemas.microsoft.com/office/word/2010/wordml" w:rsidP="1FA423AF" wp14:paraId="7B9F3319" wp14:textId="0CFBB8A0">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1FA423AF" wp14:paraId="589BEAE0" wp14:textId="10EA2C76">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1FA423AF" w:rsidR="18FAFAFF">
        <w:rPr>
          <w:rFonts w:ascii="Consolas" w:hAnsi="Consolas" w:eastAsia="Consolas" w:cs="Consolas"/>
          <w:b w:val="0"/>
          <w:bCs w:val="0"/>
          <w:i w:val="0"/>
          <w:iCs w:val="0"/>
          <w:caps w:val="0"/>
          <w:smallCaps w:val="0"/>
          <w:noProof w:val="0"/>
          <w:color w:val="1F1F1F"/>
          <w:sz w:val="24"/>
          <w:szCs w:val="24"/>
          <w:lang w:val="en-US"/>
        </w:rPr>
        <w:t>VTTK</w:t>
      </w: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 xml:space="preserve"> Shipping Type &amp; Electronic Proof of Delivery Exception Algorithms)</w:t>
      </w:r>
    </w:p>
    <w:p xmlns:wp14="http://schemas.microsoft.com/office/word/2010/wordml" wp14:paraId="16B56CF6" wp14:textId="3F2C4FB8"/>
    <w:p xmlns:wp14="http://schemas.microsoft.com/office/word/2010/wordml" w:rsidP="1FA423AF" wp14:paraId="53EFE043" wp14:textId="6B4AB6BB">
      <w:pPr>
        <w:pStyle w:val="Heading3"/>
        <w:shd w:val="clear" w:color="auto" w:fill="FDFCFC"/>
        <w:spacing w:before="360" w:beforeAutospacing="off" w:after="180" w:afterAutospacing="off" w:line="360" w:lineRule="auto"/>
      </w:pPr>
      <w:r w:rsidRPr="1FA423AF" w:rsidR="18FAFAFF">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1FA423AF" wp14:paraId="552B402F" wp14:textId="61B8DC50">
      <w:pPr>
        <w:shd w:val="clear" w:color="auto" w:fill="FDFCFC"/>
        <w:spacing w:before="0" w:beforeAutospacing="off" w:after="0" w:afterAutospacing="off"/>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This Standard Operating Procedure (SOP) dictates the uncompromising bio-safety and organoleptic quality protocols regarding the exposure of medical-grade veterinary nutrition to Volatile Organic Compounds (VOCs) and noxious chemical odors. The Enterprise frequently utilizes Less-Than-Truckload (LTL) networks, where veterinary diets may inadvertently be staged or transported alongside industrial chemicals, tires, or fertilizers. Companion animals—particularly veterinary patients suffering from acute illnesses, renal failure, or gastrointestinal distress—rely heavily on olfactory cues to stimulate appetite. Chemical odor absorption into porous kibble bags not only presents a toxicological hazard but induces immediate palatability failure and patient anorexia. The Enterprise AI Logistics Copilot is strictly authorized to embargo any shipment suspected of chemical or odor cross-contamination pending rigorous sensory and analytical laboratory testing.</w:t>
      </w:r>
    </w:p>
    <w:p xmlns:wp14="http://schemas.microsoft.com/office/word/2010/wordml" wp14:paraId="6791EA97" wp14:textId="6DD916D2"/>
    <w:p xmlns:wp14="http://schemas.microsoft.com/office/word/2010/wordml" w:rsidP="1FA423AF" wp14:paraId="693AADA3" wp14:textId="08F3DFAB">
      <w:pPr>
        <w:pStyle w:val="Heading3"/>
        <w:shd w:val="clear" w:color="auto" w:fill="FDFCFC"/>
        <w:spacing w:before="360" w:beforeAutospacing="off" w:after="180" w:afterAutospacing="off" w:line="360" w:lineRule="auto"/>
      </w:pPr>
      <w:r w:rsidRPr="1FA423AF" w:rsidR="18FAFAFF">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1FA423AF" wp14:paraId="22B230D7" wp14:textId="370C8143">
      <w:pPr>
        <w:shd w:val="clear" w:color="auto" w:fill="FDFCFC"/>
        <w:spacing w:before="0" w:beforeAutospacing="off" w:after="0" w:afterAutospacing="off"/>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operational definitions apply:</w:t>
      </w:r>
    </w:p>
    <w:p xmlns:wp14="http://schemas.microsoft.com/office/word/2010/wordml" w:rsidP="1FA423AF" wp14:paraId="52426F8E" wp14:textId="23A46EA0">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Chemical/Odor Cross-Contamination (VOC Exposure): The absorption of exogenous gaseous molecules or direct liquid spills from industrial freight into the primary or secondary packaging of veterinary nutrition.</w:t>
      </w:r>
    </w:p>
    <w:p xmlns:wp14="http://schemas.microsoft.com/office/word/2010/wordml" w:rsidP="1FA423AF" wp14:paraId="5AB6AC80" wp14:textId="04851F1F">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Organoleptic / Palatability Failure: The clinical rejection of therapeutic diets by the animal patient due to the detection of unnatural chemical olfactory signatures, leading to catastrophic disruption of the prescribed medical nutrition plan.</w:t>
      </w:r>
    </w:p>
    <w:p xmlns:wp14="http://schemas.microsoft.com/office/word/2010/wordml" w:rsidP="1FA423AF" wp14:paraId="0752A72E" wp14:textId="602F3865">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Hazmat Exposure Risk: The potential adulteration of the food matrix with toxic chemical compounds (e.g., petroleum distillates, agricultural solvents) rendering the product lethally toxic.</w:t>
      </w:r>
    </w:p>
    <w:p xmlns:wp14="http://schemas.microsoft.com/office/word/2010/wordml" w:rsidP="1FA423AF" wp14:paraId="48734EE8" wp14:textId="03FD91B4">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Quality Assurance (QA) Hold: An immediate, legally binding biological and chemical embargo placed on a shipment. Freight under a QA Hold is strictly prohibited from entering clinical inventory until cleared by targeted Enterprise lab testing.</w:t>
      </w:r>
    </w:p>
    <w:p xmlns:wp14="http://schemas.microsoft.com/office/word/2010/wordml" wp14:paraId="5E10AB4E" wp14:textId="5419A64C"/>
    <w:p xmlns:wp14="http://schemas.microsoft.com/office/word/2010/wordml" w:rsidP="1FA423AF" wp14:paraId="56F27606" wp14:textId="27BE6210">
      <w:pPr>
        <w:pStyle w:val="Heading3"/>
        <w:shd w:val="clear" w:color="auto" w:fill="FDFCFC"/>
        <w:spacing w:before="360" w:beforeAutospacing="off" w:after="180" w:afterAutospacing="off" w:line="360" w:lineRule="auto"/>
      </w:pPr>
      <w:r w:rsidRPr="1FA423AF" w:rsidR="18FAFAFF">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1FA423AF" wp14:paraId="551DC381" wp14:textId="172C9FF9">
      <w:pPr>
        <w:shd w:val="clear" w:color="auto" w:fill="FDFCFC"/>
        <w:spacing w:before="0" w:beforeAutospacing="off" w:after="0" w:afterAutospacing="off"/>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a QA Hold and intercept the delivery if ALL of the following data thresholds are simultaneously met:</w:t>
      </w:r>
    </w:p>
    <w:p xmlns:wp14="http://schemas.microsoft.com/office/word/2010/wordml" w:rsidP="1FA423AF" wp14:paraId="50DAEC0F" wp14:textId="442F604E">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 xml:space="preserve">LTL Network Transit Risk: The SAP Shipment Header designates the transit mode as Less-Than-Truckload, indicating shared trailer space (SAP Table: </w:t>
      </w:r>
      <w:r w:rsidRPr="1FA423AF" w:rsidR="18FAFAFF">
        <w:rPr>
          <w:rFonts w:ascii="Consolas" w:hAnsi="Consolas" w:eastAsia="Consolas" w:cs="Consolas"/>
          <w:b w:val="0"/>
          <w:bCs w:val="0"/>
          <w:i w:val="0"/>
          <w:iCs w:val="0"/>
          <w:caps w:val="0"/>
          <w:smallCaps w:val="0"/>
          <w:noProof w:val="0"/>
          <w:color w:val="1F1F1F"/>
          <w:sz w:val="24"/>
          <w:szCs w:val="24"/>
          <w:lang w:val="en-US"/>
        </w:rPr>
        <w:t>VTTK-VSART</w:t>
      </w: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 xml:space="preserve"> = Road LTL).</w:t>
      </w:r>
    </w:p>
    <w:p xmlns:wp14="http://schemas.microsoft.com/office/word/2010/wordml" w:rsidP="1FA423AF" wp14:paraId="5B9B1F7B" wp14:textId="6448F00C">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Sensory Exception Logged: Upon arrival at the destination clinic (</w:t>
      </w:r>
      <w:r w:rsidRPr="1FA423AF" w:rsidR="18FAFAFF">
        <w:rPr>
          <w:rFonts w:ascii="Consolas" w:hAnsi="Consolas" w:eastAsia="Consolas" w:cs="Consolas"/>
          <w:b w:val="0"/>
          <w:bCs w:val="0"/>
          <w:i w:val="0"/>
          <w:iCs w:val="0"/>
          <w:caps w:val="0"/>
          <w:smallCaps w:val="0"/>
          <w:noProof w:val="0"/>
          <w:color w:val="1F1F1F"/>
          <w:sz w:val="24"/>
          <w:szCs w:val="24"/>
          <w:lang w:val="en-US"/>
        </w:rPr>
        <w:t>KNA1</w:t>
      </w: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 receiving personnel log an explicit exception code on the Electronic Proof of Delivery (ePOD) portal indicating "Chemical Odor," "Spill on Pallet," "Gasoline Smell," or "Contaminated Freight."</w:t>
      </w:r>
    </w:p>
    <w:p xmlns:wp14="http://schemas.microsoft.com/office/word/2010/wordml" w:rsidP="1FA423AF" wp14:paraId="772A1D69" wp14:textId="79CD68A8">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NLP NLP Extraction: The AI Copilot uses Natural Language Processing (NLP) to read driver notes or clinic receiving comments containing keywords related to industrial odors (e.g., "smells like tires", "fertilizer dust").</w:t>
      </w:r>
    </w:p>
    <w:p xmlns:wp14="http://schemas.microsoft.com/office/word/2010/wordml" wp14:paraId="5BA05B1C" wp14:textId="3DEFEE48"/>
    <w:p xmlns:wp14="http://schemas.microsoft.com/office/word/2010/wordml" w:rsidP="1FA423AF" wp14:paraId="5A94A3A4" wp14:textId="6B925270">
      <w:pPr>
        <w:pStyle w:val="Heading3"/>
        <w:shd w:val="clear" w:color="auto" w:fill="FDFCFC"/>
        <w:spacing w:before="360" w:beforeAutospacing="off" w:after="180" w:afterAutospacing="off" w:line="360" w:lineRule="auto"/>
      </w:pPr>
      <w:r w:rsidRPr="1FA423AF" w:rsidR="18FAFAFF">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1FA423AF" wp14:paraId="611634B1" wp14:textId="50FA42F0">
      <w:pPr>
        <w:shd w:val="clear" w:color="auto" w:fill="FDFCFC"/>
        <w:spacing w:before="0" w:beforeAutospacing="off" w:after="0" w:afterAutospacing="off"/>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Upon the AI Copilot triggering the Chemical/Odor Cross-Contamination alert, the following operational mandates take immediate effect:</w:t>
      </w:r>
    </w:p>
    <w:p xmlns:wp14="http://schemas.microsoft.com/office/word/2010/wordml" w:rsidP="1FA423AF" wp14:paraId="02A495E3" wp14:textId="59FD7585">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Systemic Embargo: The AI Copilot shall autonomously apply a Delivery Block to the associated delivery header (</w:t>
      </w:r>
      <w:r w:rsidRPr="1FA423AF" w:rsidR="18FAFAFF">
        <w:rPr>
          <w:rFonts w:ascii="Consolas" w:hAnsi="Consolas" w:eastAsia="Consolas" w:cs="Consolas"/>
          <w:b w:val="0"/>
          <w:bCs w:val="0"/>
          <w:i w:val="0"/>
          <w:iCs w:val="0"/>
          <w:caps w:val="0"/>
          <w:smallCaps w:val="0"/>
          <w:noProof w:val="0"/>
          <w:color w:val="1F1F1F"/>
          <w:sz w:val="24"/>
          <w:szCs w:val="24"/>
          <w:lang w:val="en-US"/>
        </w:rPr>
        <w:t>LIKP</w:t>
      </w: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 preventing standard commercial receiving, dispensing, and invoicing.</w:t>
      </w:r>
    </w:p>
    <w:p xmlns:wp14="http://schemas.microsoft.com/office/word/2010/wordml" w:rsidP="1FA423AF" wp14:paraId="189A27C0" wp14:textId="2571F728">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Immediate Isolation Directive: The Copilot shall transmit an automated alert to the clinic receiving staff. Staff must immediately remove the contaminated pallets from the vicinity of all other clinical inventory to prevent ambient odor transference. The freight must be placed in a well-ventilated quarantine zone.</w:t>
      </w:r>
    </w:p>
    <w:p xmlns:wp14="http://schemas.microsoft.com/office/word/2010/wordml" w:rsidP="1FA423AF" wp14:paraId="1CC630EA" wp14:textId="6CE1A527">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Mandatory QA Sensory &amp; Lab Testing: An Enterprise QA Inspector will dispatch a secure courier to extract core samples from the impacted pallets. Samples will undergo human organoleptic (sensory) evaluation. If odors are detected, or if a liquid spill is visible, samples will be escalated for Gas Chromatography-Mass Spectrometry (GC-MS) testing to identify and quantify the specific VOCs or chemical adulterants.</w:t>
      </w:r>
    </w:p>
    <w:p xmlns:wp14="http://schemas.microsoft.com/office/word/2010/wordml" wp14:paraId="7CD7AA00" wp14:textId="73A1499E"/>
    <w:p xmlns:wp14="http://schemas.microsoft.com/office/word/2010/wordml" w:rsidP="1FA423AF" wp14:paraId="268CFD5B" wp14:textId="23A2B4FD">
      <w:pPr>
        <w:pStyle w:val="Heading3"/>
        <w:shd w:val="clear" w:color="auto" w:fill="FDFCFC"/>
        <w:spacing w:before="360" w:beforeAutospacing="off" w:after="180" w:afterAutospacing="off" w:line="360" w:lineRule="auto"/>
      </w:pPr>
      <w:r w:rsidRPr="1FA423AF" w:rsidR="18FAFAFF">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1FA423AF" wp14:paraId="1BC4FCD4" wp14:textId="194A54FA">
      <w:pPr>
        <w:shd w:val="clear" w:color="auto" w:fill="FDFCFC"/>
        <w:spacing w:before="0" w:beforeAutospacing="off" w:after="0" w:afterAutospacing="off"/>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Absolute clinical efficacy and toxicological safety are non-negotiable. If sensory or analytical testing confirms contamination, the following strict condemnation protocols apply:</w:t>
      </w:r>
    </w:p>
    <w:p xmlns:wp14="http://schemas.microsoft.com/office/word/2010/wordml" w:rsidP="1FA423AF" wp14:paraId="24D7C39A" wp14:textId="002A5DAE">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 xml:space="preserve">Condemnation Criteria: If the Enterprise QA panel definitively registers an unnatural chemical odor (palatability failure), OR if GC-MS testing detects trace industrial VOCs or toxins breaching acceptable safety thresholds, the QA Inspector shall officially declare the </w:t>
      </w:r>
      <w:r w:rsidRPr="1FA423AF" w:rsidR="18FAFAFF">
        <w:rPr>
          <w:rFonts w:ascii="Times New Roman" w:hAnsi="Times New Roman" w:eastAsia="Times New Roman" w:cs="Times New Roman"/>
          <w:b w:val="0"/>
          <w:bCs w:val="0"/>
          <w:i w:val="1"/>
          <w:iCs w:val="1"/>
          <w:caps w:val="0"/>
          <w:smallCaps w:val="0"/>
          <w:noProof w:val="0"/>
          <w:color w:val="1F1F1F"/>
          <w:sz w:val="24"/>
          <w:szCs w:val="24"/>
          <w:lang w:val="en-US"/>
        </w:rPr>
        <w:t>entire</w:t>
      </w: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 xml:space="preserve"> trailer load or LTL shipment 100% Condemned.</w:t>
      </w:r>
    </w:p>
    <w:p xmlns:wp14="http://schemas.microsoft.com/office/word/2010/wordml" w:rsidP="1FA423AF" wp14:paraId="66FFA7F2" wp14:textId="2D2B7BEF">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Hazmat Bio-Secure Disposal Mandate: Chemically contaminated diets pose a severe biological and environmental threat. The cargo must be transported via secure, hazmat-compliant chain-of-custody to a certified facility for Bio-Secure Deep Incineration. It must absolutely never enter liquidation or standard municipal waste streams.</w:t>
      </w:r>
    </w:p>
    <w:p xmlns:wp14="http://schemas.microsoft.com/office/word/2010/wordml" w:rsidP="1FA423AF" wp14:paraId="49FDE9FF" wp14:textId="61E52543">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Carrier Financial Liability: Loading medical-grade nutrition alongside incompatible or leaking industrial freight constitutes gross negligence and a catastrophic breach of the Carrier's Master Vendor Agreement. Upon Condemnation, the AI Copilot is authorized to automatically execute a financial chargeback against the Carrier. The Carrier shall be billed for 100% of the commercial invoice value, explicitly calculated using the Net Value field (</w:t>
      </w:r>
      <w:r w:rsidRPr="1FA423AF" w:rsidR="18FAFAFF">
        <w:rPr>
          <w:rFonts w:ascii="Consolas" w:hAnsi="Consolas" w:eastAsia="Consolas" w:cs="Consolas"/>
          <w:b w:val="0"/>
          <w:bCs w:val="0"/>
          <w:i w:val="0"/>
          <w:iCs w:val="0"/>
          <w:caps w:val="0"/>
          <w:smallCaps w:val="0"/>
          <w:noProof w:val="0"/>
          <w:color w:val="1F1F1F"/>
          <w:sz w:val="24"/>
          <w:szCs w:val="24"/>
          <w:lang w:val="en-US"/>
        </w:rPr>
        <w:t>VBAK-NETWR</w:t>
      </w:r>
      <w:r w:rsidRPr="1FA423AF" w:rsidR="18FAFAFF">
        <w:rPr>
          <w:rFonts w:ascii="Times New Roman" w:hAnsi="Times New Roman" w:eastAsia="Times New Roman" w:cs="Times New Roman"/>
          <w:b w:val="0"/>
          <w:bCs w:val="0"/>
          <w:i w:val="0"/>
          <w:iCs w:val="0"/>
          <w:caps w:val="0"/>
          <w:smallCaps w:val="0"/>
          <w:noProof w:val="0"/>
          <w:color w:val="1F1F1F"/>
          <w:sz w:val="24"/>
          <w:szCs w:val="24"/>
          <w:lang w:val="en-US"/>
        </w:rPr>
        <w:t>), plus all associated GC-MS laboratory testing, hazmat remediation, and bio-secure destruction costs.</w:t>
      </w:r>
    </w:p>
    <w:p xmlns:wp14="http://schemas.microsoft.com/office/word/2010/wordml" wp14:paraId="2C078E63" wp14:textId="2292ABE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6995A"/>
    <w:rsid w:val="18FAFAFF"/>
    <w:rsid w:val="1FA423AF"/>
    <w:rsid w:val="77C69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279A0"/>
  <w15:chartTrackingRefBased/>
  <w15:docId w15:val="{316A2D16-E88A-4AB8-B3E8-3F4B5A4B12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FA423A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FA423A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2026-08-21T08:42:53.7304419Z</dcterms:created>
  <dcterms:modified xsi:type="dcterms:W3CDTF">2026-08-21T08:43:38.7778029Z</dcterms:modified>
  <dc:creator>SATHISH S</dc:creator>
  <lastModifiedBy>SATHISH S</lastModifiedBy>
</coreProperties>
</file>