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313DEF" wp14:paraId="639AB70F" wp14:textId="193DF3F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Document ID: QA-SOP-2026-002-FREEZE</w:t>
      </w:r>
    </w:p>
    <w:p xmlns:wp14="http://schemas.microsoft.com/office/word/2010/wordml" w:rsidP="23313DEF" wp14:paraId="43309F94" wp14:textId="4364C267">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Target SAP Material Class: Canned / Wet Therapeutic Diets (</w:t>
      </w:r>
      <w:r w:rsidRPr="23313DEF" w:rsidR="5FAE11E3">
        <w:rPr>
          <w:rFonts w:ascii="Consolas" w:hAnsi="Consolas" w:eastAsia="Consolas" w:cs="Consolas"/>
          <w:b w:val="0"/>
          <w:bCs w:val="0"/>
          <w:i w:val="0"/>
          <w:iCs w:val="0"/>
          <w:caps w:val="0"/>
          <w:smallCaps w:val="0"/>
          <w:noProof w:val="0"/>
          <w:color w:val="1F1F1F"/>
          <w:sz w:val="24"/>
          <w:szCs w:val="24"/>
          <w:lang w:val="en-US"/>
        </w:rPr>
        <w:t>MARA-MATKL</w:t>
      </w: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xml:space="preserve"> = VET_WET)</w:t>
      </w:r>
    </w:p>
    <w:p xmlns:wp14="http://schemas.microsoft.com/office/word/2010/wordml" w:rsidP="23313DEF" wp14:paraId="75175418" wp14:textId="26FBB88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23313DEF" wp14:paraId="112B1ACB" wp14:textId="56785BD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23313DEF" wp14:paraId="70857D1F" wp14:textId="020C02DD">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23313DEF" w:rsidR="5FAE11E3">
        <w:rPr>
          <w:rFonts w:ascii="Consolas" w:hAnsi="Consolas" w:eastAsia="Consolas" w:cs="Consolas"/>
          <w:b w:val="0"/>
          <w:bCs w:val="0"/>
          <w:i w:val="0"/>
          <w:iCs w:val="0"/>
          <w:caps w:val="0"/>
          <w:smallCaps w:val="0"/>
          <w:noProof w:val="0"/>
          <w:color w:val="1F1F1F"/>
          <w:sz w:val="24"/>
          <w:szCs w:val="24"/>
          <w:lang w:val="en-US"/>
        </w:rPr>
        <w:t>VTTK</w:t>
      </w: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xml:space="preserve"> GPS Telemetry &amp; OpenWeather API)</w:t>
      </w:r>
    </w:p>
    <w:p xmlns:wp14="http://schemas.microsoft.com/office/word/2010/wordml" wp14:paraId="3BEDD7C3" wp14:textId="63F98C09"/>
    <w:p xmlns:wp14="http://schemas.microsoft.com/office/word/2010/wordml" w:rsidP="23313DEF" wp14:paraId="0CB9AA50" wp14:textId="7AE0CFAD">
      <w:pPr>
        <w:pStyle w:val="Heading3"/>
        <w:shd w:val="clear" w:color="auto" w:fill="FDFCFC"/>
        <w:spacing w:before="360" w:beforeAutospacing="off" w:after="180" w:afterAutospacing="off" w:line="360" w:lineRule="auto"/>
      </w:pPr>
      <w:r w:rsidRPr="23313DEF" w:rsidR="5FAE11E3">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23313DEF" wp14:paraId="0BF134C7" wp14:textId="6C774E5D">
      <w:pPr>
        <w:shd w:val="clear" w:color="auto" w:fill="FDFCFC"/>
        <w:spacing w:before="0" w:beforeAutospacing="off" w:after="0" w:afterAutospacing="off"/>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xml:space="preserve">This Standard Operating Procedure (SOP) establishes the uncompromising bio-safety protocols governing the exposure of medical-grade canned and wet veterinary nutrition to sub-freezing environmental conditions. Canned therapeutics rely entirely on absolute hermetic commercial sterility. When exposed to freezing temperatures, the aqueous components of these diets expand, exerting extreme internal pressure on the packaging’s double-seams. A compromised seam—even a microscopic fracture—creates an immediate vector for catastrophic pathogen ingress, including </w:t>
      </w:r>
      <w:r w:rsidRPr="23313DEF" w:rsidR="5FAE11E3">
        <w:rPr>
          <w:rFonts w:ascii="Times New Roman" w:hAnsi="Times New Roman" w:eastAsia="Times New Roman" w:cs="Times New Roman"/>
          <w:b w:val="0"/>
          <w:bCs w:val="0"/>
          <w:i w:val="1"/>
          <w:iCs w:val="1"/>
          <w:caps w:val="0"/>
          <w:smallCaps w:val="0"/>
          <w:noProof w:val="0"/>
          <w:color w:val="1F1F1F"/>
          <w:sz w:val="24"/>
          <w:szCs w:val="24"/>
          <w:lang w:val="en-US"/>
        </w:rPr>
        <w:t>Clostridium botulinum</w:t>
      </w: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The Enterprise AI Logistics Copilot is strictly authorized to autonomously intercept and embargo any shipment suspected of cryogenic exposure to ensure absolute patient safety.</w:t>
      </w:r>
    </w:p>
    <w:p xmlns:wp14="http://schemas.microsoft.com/office/word/2010/wordml" wp14:paraId="123D7AE7" wp14:textId="544E43A5"/>
    <w:p xmlns:wp14="http://schemas.microsoft.com/office/word/2010/wordml" w:rsidP="23313DEF" wp14:paraId="71B93F95" wp14:textId="14462EEE">
      <w:pPr>
        <w:pStyle w:val="Heading3"/>
        <w:shd w:val="clear" w:color="auto" w:fill="FDFCFC"/>
        <w:spacing w:before="360" w:beforeAutospacing="off" w:after="180" w:afterAutospacing="off" w:line="360" w:lineRule="auto"/>
      </w:pPr>
      <w:r w:rsidRPr="23313DEF" w:rsidR="5FAE11E3">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23313DEF" wp14:paraId="137AB115" wp14:textId="2453F4A7">
      <w:pPr>
        <w:shd w:val="clear" w:color="auto" w:fill="FDFCFC"/>
        <w:spacing w:before="0" w:beforeAutospacing="off" w:after="0" w:afterAutospacing="off"/>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23313DEF" wp14:paraId="1FB16556" wp14:textId="734F504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Cryogenic Expansion (Freezing Hazard): The physical phase-change and subsequent volume expansion of liquid components within sealed tinplate, aluminum cans, or retort pouches caused by sub-freezing ambient temperatures.</w:t>
      </w:r>
    </w:p>
    <w:p xmlns:wp14="http://schemas.microsoft.com/office/word/2010/wordml" w:rsidP="23313DEF" wp14:paraId="381EFDDC" wp14:textId="0643FFE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Hermetic Seam Compromise: The structural failure of the container's physical integrity. Clinically, this manifests as "bulging," "swelling," "springers," or "flippers" on the can ends, indicating a breach of the sterile vacuum.</w:t>
      </w:r>
    </w:p>
    <w:p xmlns:wp14="http://schemas.microsoft.com/office/word/2010/wordml" w:rsidP="23313DEF" wp14:paraId="76E21D9F" wp14:textId="6CF15D9A">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Pathogenic Ingress: The introduction of lethal anaerobic or aerobic environmental bacteria into the sterile nutritional matrix following a seam compromise.</w:t>
      </w:r>
    </w:p>
    <w:p xmlns:wp14="http://schemas.microsoft.com/office/word/2010/wordml" w:rsidP="23313DEF" wp14:paraId="7C1D4F28" wp14:textId="063C95C1">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embargo placed on a shipment. Freight under a QA Hold is strictly prohibited from entering clinical inventory or being dispensed to patients until explicitly cleared by targeted inspection protocols.</w:t>
      </w:r>
    </w:p>
    <w:p xmlns:wp14="http://schemas.microsoft.com/office/word/2010/wordml" wp14:paraId="490415B5" wp14:textId="643A6186"/>
    <w:p xmlns:wp14="http://schemas.microsoft.com/office/word/2010/wordml" w:rsidP="23313DEF" wp14:paraId="499975AC" wp14:textId="7A35B888">
      <w:pPr>
        <w:pStyle w:val="Heading3"/>
        <w:shd w:val="clear" w:color="auto" w:fill="FDFCFC"/>
        <w:spacing w:before="360" w:beforeAutospacing="off" w:after="180" w:afterAutospacing="off" w:line="360" w:lineRule="auto"/>
      </w:pPr>
      <w:r w:rsidRPr="23313DEF" w:rsidR="5FAE11E3">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23313DEF" wp14:paraId="1CA63120" wp14:textId="0E2D3125">
      <w:pPr>
        <w:shd w:val="clear" w:color="auto" w:fill="FDFCFC"/>
        <w:spacing w:before="0" w:beforeAutospacing="off" w:after="0" w:afterAutospacing="off"/>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and intercept the delivery if ALL of the following data thresholds are simultaneously met:</w:t>
      </w:r>
    </w:p>
    <w:p xmlns:wp14="http://schemas.microsoft.com/office/word/2010/wordml" w:rsidP="23313DEF" wp14:paraId="4C370A31" wp14:textId="0C8A8971">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xml:space="preserve">Material Sensitivity: The SAP Material Master indicates the shipment contains an aqueous or canned formulation (SAP Table: </w:t>
      </w:r>
      <w:r w:rsidRPr="23313DEF" w:rsidR="5FAE11E3">
        <w:rPr>
          <w:rFonts w:ascii="Consolas" w:hAnsi="Consolas" w:eastAsia="Consolas" w:cs="Consolas"/>
          <w:b w:val="0"/>
          <w:bCs w:val="0"/>
          <w:i w:val="0"/>
          <w:iCs w:val="0"/>
          <w:caps w:val="0"/>
          <w:smallCaps w:val="0"/>
          <w:noProof w:val="0"/>
          <w:color w:val="1F1F1F"/>
          <w:sz w:val="24"/>
          <w:szCs w:val="24"/>
          <w:lang w:val="en-US"/>
        </w:rPr>
        <w:t>MARA</w:t>
      </w: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xml:space="preserve"> where material group indicates wet diet).</w:t>
      </w:r>
    </w:p>
    <w:p xmlns:wp14="http://schemas.microsoft.com/office/word/2010/wordml" w:rsidP="23313DEF" wp14:paraId="01F64ABE" wp14:textId="4454AB7B">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xml:space="preserve">Sub-Freezing Thermal Intersect: The OpenWeather API registers sustained ambient temperatures dropping below 32°F (0°C) directly intersecting the exact GPS geocoordinates of the active Carrier equipment (SAP Table: </w:t>
      </w:r>
      <w:r w:rsidRPr="23313DEF" w:rsidR="5FAE11E3">
        <w:rPr>
          <w:rFonts w:ascii="Consolas" w:hAnsi="Consolas" w:eastAsia="Consolas" w:cs="Consolas"/>
          <w:b w:val="0"/>
          <w:bCs w:val="0"/>
          <w:i w:val="0"/>
          <w:iCs w:val="0"/>
          <w:caps w:val="0"/>
          <w:smallCaps w:val="0"/>
          <w:noProof w:val="0"/>
          <w:color w:val="1F1F1F"/>
          <w:sz w:val="24"/>
          <w:szCs w:val="24"/>
          <w:lang w:val="en-US"/>
        </w:rPr>
        <w:t>VTTK</w:t>
      </w: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23313DEF" wp14:paraId="5FE4D26D" wp14:textId="6FBDEFF5">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Exposure Duration: The sub-freezing environmental exposure persists for a continuous duration exceeding 12 hours.</w:t>
      </w:r>
    </w:p>
    <w:p xmlns:wp14="http://schemas.microsoft.com/office/word/2010/wordml" wp14:paraId="028E8B77" wp14:textId="0FFA7A0C"/>
    <w:p xmlns:wp14="http://schemas.microsoft.com/office/word/2010/wordml" w:rsidP="23313DEF" wp14:paraId="58A1AA9A" wp14:textId="4FC0ED0E">
      <w:pPr>
        <w:pStyle w:val="Heading3"/>
        <w:shd w:val="clear" w:color="auto" w:fill="FDFCFC"/>
        <w:spacing w:before="360" w:beforeAutospacing="off" w:after="180" w:afterAutospacing="off" w:line="360" w:lineRule="auto"/>
      </w:pPr>
      <w:r w:rsidRPr="23313DEF" w:rsidR="5FAE11E3">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23313DEF" wp14:paraId="4C08FCF7" wp14:textId="0BC1311C">
      <w:pPr>
        <w:shd w:val="clear" w:color="auto" w:fill="FDFCFC"/>
        <w:spacing w:before="0" w:beforeAutospacing="off" w:after="0" w:afterAutospacing="off"/>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Freezing/Burst Risk alert, the following operational mandates take immediate effect:</w:t>
      </w:r>
    </w:p>
    <w:p xmlns:wp14="http://schemas.microsoft.com/office/word/2010/wordml" w:rsidP="23313DEF" wp14:paraId="7C1ADCD6" wp14:textId="3C71796A">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23313DEF" w:rsidR="5FAE11E3">
        <w:rPr>
          <w:rFonts w:ascii="Consolas" w:hAnsi="Consolas" w:eastAsia="Consolas" w:cs="Consolas"/>
          <w:b w:val="0"/>
          <w:bCs w:val="0"/>
          <w:i w:val="0"/>
          <w:iCs w:val="0"/>
          <w:caps w:val="0"/>
          <w:smallCaps w:val="0"/>
          <w:noProof w:val="0"/>
          <w:color w:val="1F1F1F"/>
          <w:sz w:val="24"/>
          <w:szCs w:val="24"/>
          <w:lang w:val="en-US"/>
        </w:rPr>
        <w:t>LIKP</w:t>
      </w: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preventing standard commercial receiving and invoicing.</w:t>
      </w:r>
    </w:p>
    <w:p xmlns:wp14="http://schemas.microsoft.com/office/word/2010/wordml" w:rsidP="23313DEF" wp14:paraId="4E6518E4" wp14:textId="1AD1F88E">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Targeted Clinic Alert: The Copilot shall transmit an automated, high-priority alert to the destination clinic (</w:t>
      </w:r>
      <w:r w:rsidRPr="23313DEF" w:rsidR="5FAE11E3">
        <w:rPr>
          <w:rFonts w:ascii="Consolas" w:hAnsi="Consolas" w:eastAsia="Consolas" w:cs="Consolas"/>
          <w:b w:val="0"/>
          <w:bCs w:val="0"/>
          <w:i w:val="0"/>
          <w:iCs w:val="0"/>
          <w:caps w:val="0"/>
          <w:smallCaps w:val="0"/>
          <w:noProof w:val="0"/>
          <w:color w:val="1F1F1F"/>
          <w:sz w:val="24"/>
          <w:szCs w:val="24"/>
          <w:lang w:val="en-US"/>
        </w:rPr>
        <w:t>KNA1</w:t>
      </w: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receiving staff, explicitly detailing the cryogenic exposure risk.</w:t>
      </w:r>
    </w:p>
    <w:p xmlns:wp14="http://schemas.microsoft.com/office/word/2010/wordml" w:rsidP="23313DEF" wp14:paraId="22304795" wp14:textId="75B57C48">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Mandatory Tactile &amp; Visual Inspection: Upon the Carrier’s arrival, clinic staff must isolate the impacted pallets in a secure staging area. Prior to accepting the freight into inventory, staff must perform a 100% visual and tactile inspection of the outer cases and individual units.</w:t>
      </w:r>
    </w:p>
    <w:p xmlns:wp14="http://schemas.microsoft.com/office/word/2010/wordml" w:rsidP="23313DEF" wp14:paraId="0FDAE154" wp14:textId="3A7507F6">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Defect Identification: Staff are instructed to strictly identify any signs of package distortion, specifically swollen lids, bulging seams, or visible leakage.</w:t>
      </w:r>
    </w:p>
    <w:p xmlns:wp14="http://schemas.microsoft.com/office/word/2010/wordml" wp14:paraId="374BE359" wp14:textId="0FF9AFA9"/>
    <w:p xmlns:wp14="http://schemas.microsoft.com/office/word/2010/wordml" w:rsidP="23313DEF" wp14:paraId="6D426B64" wp14:textId="6E49CD56">
      <w:pPr>
        <w:pStyle w:val="Heading3"/>
        <w:shd w:val="clear" w:color="auto" w:fill="FDFCFC"/>
        <w:spacing w:before="360" w:beforeAutospacing="off" w:after="180" w:afterAutospacing="off" w:line="360" w:lineRule="auto"/>
      </w:pPr>
      <w:r w:rsidRPr="23313DEF" w:rsidR="5FAE11E3">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23313DEF" wp14:paraId="1FD96404" wp14:textId="7B6F9B39">
      <w:pPr>
        <w:shd w:val="clear" w:color="auto" w:fill="FDFCFC"/>
        <w:spacing w:before="0" w:beforeAutospacing="off" w:after="0" w:afterAutospacing="off"/>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is non-negotiable. If the visual inspection confirms any degree of hermetic compromise, the following strict condemnation protocols apply:</w:t>
      </w:r>
    </w:p>
    <w:p xmlns:wp14="http://schemas.microsoft.com/office/word/2010/wordml" w:rsidP="23313DEF" wp14:paraId="451F0717" wp14:textId="49E6F570">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Condemnation Criteria: If even a single unit within a case exhibits bulging seams or loss of vacuum, the Enterprise QA Inspector shall officially declare the entire affected batch/pallet 100% Condemned due to the high risk of systemic micro-fractures and cross-contamination across the frozen pallet.</w:t>
      </w:r>
    </w:p>
    <w:p xmlns:wp14="http://schemas.microsoft.com/office/word/2010/wordml" w:rsidP="23313DEF" wp14:paraId="6953E818" wp14:textId="09AB5BA3">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Bio-Secure Disposal Mandate: Condemned wet diets pose a severe biological threat and must never be permitted to enter secondary liquidation markets or standard municipal landfills. The cargo must be transported via secure chain-of-custody to a certified facility for Bio-Secure Crushing and Incineration.</w:t>
      </w:r>
    </w:p>
    <w:p xmlns:wp14="http://schemas.microsoft.com/office/word/2010/wordml" w:rsidP="23313DEF" wp14:paraId="2088F5B1" wp14:textId="2BC28963">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Carrier Financial Liability: Failure to maintain safe ambient transit temperatures constitutes a material breach of care. Upon Condemnation, the AI Copilot is authorized to automatically execute a financial chargeback against the Carrier. The Carrier shall be billed for 100% of the commercial invoice value, explicitly calculated using the Net Value field (</w:t>
      </w:r>
      <w:r w:rsidRPr="23313DEF" w:rsidR="5FAE11E3">
        <w:rPr>
          <w:rFonts w:ascii="Consolas" w:hAnsi="Consolas" w:eastAsia="Consolas" w:cs="Consolas"/>
          <w:b w:val="0"/>
          <w:bCs w:val="0"/>
          <w:i w:val="0"/>
          <w:iCs w:val="0"/>
          <w:caps w:val="0"/>
          <w:smallCaps w:val="0"/>
          <w:noProof w:val="0"/>
          <w:color w:val="1F1F1F"/>
          <w:sz w:val="24"/>
          <w:szCs w:val="24"/>
          <w:lang w:val="en-US"/>
        </w:rPr>
        <w:t>VBAK-NETWR</w:t>
      </w:r>
      <w:r w:rsidRPr="23313DEF" w:rsidR="5FAE11E3">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costs.</w:t>
      </w:r>
    </w:p>
    <w:p xmlns:wp14="http://schemas.microsoft.com/office/word/2010/wordml" wp14:paraId="2C078E63" wp14:textId="282A36B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62df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027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384c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f94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601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0428A4"/>
    <w:rsid w:val="23313DEF"/>
    <w:rsid w:val="350428A4"/>
    <w:rsid w:val="5FAE1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14534"/>
  <w15:chartTrackingRefBased/>
  <w15:docId w15:val="{2436E8FD-326F-447A-BE6A-5AFFB12131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3313DE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3313DE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3b91f41842f4c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2026-08-21T07:49:43.1773165Z</dcterms:created>
  <dcterms:modified xsi:type="dcterms:W3CDTF">2026-08-21T07:50:34.8893236Z</dcterms:modified>
  <dc:creator>SATHISH S</dc:creator>
  <lastModifiedBy>SATHISH S</lastModifiedBy>
</coreProperties>
</file>