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Transportation Disruption Intelligence</w:t>
      </w:r>
    </w:p>
    <w:p>
      <w:pPr>
        <w:pStyle w:val="Heading1"/>
      </w:pPr>
      <w:r>
        <w:t>Purpose</w:t>
      </w:r>
    </w:p>
    <w:p>
      <w:r>
        <w:t>National-level guidance for O2C Delivery Risk Copilot on transportation strikes and disruptions across India's veterinary food supply chain.</w:t>
      </w:r>
    </w:p>
    <w:p>
      <w:pPr>
        <w:pStyle w:val="Heading1"/>
      </w:pPr>
      <w:r>
        <w:t>Copilot Automated Actions</w:t>
      </w:r>
    </w:p>
    <w:p>
      <w:pPr>
        <w:pStyle w:val="ListBullet"/>
      </w:pPr>
      <w:r>
        <w:t>1. Cross-reference shipment routes with disruption zones</w:t>
      </w:r>
    </w:p>
    <w:p>
      <w:pPr>
        <w:pStyle w:val="ListBullet"/>
      </w:pPr>
      <w:r>
        <w:t>2. Calculate delay probability and revised ETA</w:t>
      </w:r>
    </w:p>
    <w:p>
      <w:pPr>
        <w:pStyle w:val="ListBullet"/>
      </w:pPr>
      <w:r>
        <w:t>3. Identify alternative routing options</w:t>
      </w:r>
    </w:p>
    <w:p>
      <w:pPr>
        <w:pStyle w:val="ListBullet"/>
      </w:pPr>
      <w:r>
        <w:t>4. Assess Force Majeure applicability</w:t>
      </w:r>
    </w:p>
    <w:p>
      <w:pPr>
        <w:pStyle w:val="ListBullet"/>
      </w:pPr>
      <w:r>
        <w:t>5. Notify planners and affected clinics proactively</w:t>
      </w:r>
    </w:p>
    <w:p>
      <w:pPr>
        <w:pStyle w:val="ListBullet"/>
      </w:pPr>
      <w:r>
        <w:t>6. Update SAP with revised delivery dates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