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National/Unknown Transportation Disruption Intelligence</w:t>
      </w:r>
    </w:p>
    <w:p>
      <w:r>
        <w:t>Generated: 2026-08-27 17:26:06</w:t>
      </w:r>
    </w:p>
    <w:p>
      <w:r>
        <w:t>Total Incidents Analyzed: 109</w:t>
      </w:r>
    </w:p>
    <w:p>
      <w:pPr>
        <w:pStyle w:val="Heading1"/>
      </w:pPr>
      <w:r>
        <w:t>Copilot Automated Response</w:t>
      </w:r>
    </w:p>
    <w:p>
      <w:r>
        <w:t>When National/Unknown disruption is detected, Copilot:</w:t>
      </w:r>
    </w:p>
    <w:p>
      <w:pPr>
        <w:pStyle w:val="ListBullet"/>
      </w:pPr>
      <w:r>
        <w:t>1. Identifies all active shipments routing through affected city</w:t>
      </w:r>
    </w:p>
    <w:p>
      <w:pPr>
        <w:pStyle w:val="ListBullet"/>
      </w:pPr>
      <w:r>
        <w:t>2. Calculates delay probability based on disruption scale</w:t>
      </w:r>
    </w:p>
    <w:p>
      <w:pPr>
        <w:pStyle w:val="ListBullet"/>
      </w:pPr>
      <w:r>
        <w:t>3. Retrieves alternative routing from regional logistics matrix</w:t>
      </w:r>
    </w:p>
    <w:p>
      <w:pPr>
        <w:pStyle w:val="ListBullet"/>
      </w:pPr>
      <w:r>
        <w:t>4. Assesses SLA impact for affected deliveries</w:t>
      </w:r>
    </w:p>
    <w:p>
      <w:pPr>
        <w:pStyle w:val="ListBullet"/>
      </w:pPr>
      <w:r>
        <w:t>5. Notifies planners with rerouting recommendations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