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Truck Disruption Pattern Analysis</w:t>
      </w:r>
    </w:p>
    <w:p>
      <w:r>
        <w:t>Total Truck Incidents: 25</w:t>
      </w:r>
    </w:p>
    <w:p>
      <w:pPr>
        <w:pStyle w:val="Heading2"/>
      </w:pPr>
      <w:r>
        <w:t>Most Affected Cities</w:t>
      </w:r>
    </w:p>
    <w:p>
      <w:pPr>
        <w:pStyle w:val="ListBullet"/>
      </w:pPr>
      <w:r>
        <w:t>Delhi: 10 incidents</w:t>
      </w:r>
    </w:p>
    <w:p>
      <w:pPr>
        <w:pStyle w:val="ListBullet"/>
      </w:pPr>
      <w:r>
        <w:t>National/Unknown: 9 incidents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