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VENDOR CONTRACT ADDENDUM: AI AUTO-DEDUCTION &amp; SYSTEM OF RECORD AGREEMENT</w:t>
      </w:r>
    </w:p>
    <w:p>
      <w:pPr>
        <w:pStyle w:val="Heading1"/>
      </w:pPr>
      <w:r>
        <w:t>1. DESIGNATION AS SYSTEM OF RECORD</w:t>
      </w:r>
    </w:p>
    <w:p>
      <w:r>
        <w:t>The 3PL Carrier formally acknowledges and agrees that the Enterprise O2C AI Delivery Monitor is the legally binding, authoritative System of Record for transit milestones, telematics tracking, and SLA calculations.</w:t>
      </w:r>
    </w:p>
    <w:p>
      <w:pPr>
        <w:pStyle w:val="Heading1"/>
      </w:pPr>
      <w:r>
        <w:t>2. AUTOMATED DEBIT MEMO EXECUTION</w:t>
      </w:r>
    </w:p>
    <w:p>
      <w:r>
        <w:t>When the AI Copilot calculates a verified delay, TONU penalty (.00), telematics disconnect penalty (.00), or SLA liability passthrough based on GPS and SAP timestamps, the calculated penalty is automatically posted as a debit memo against the carrier accounts payable ledger in SAP LFA1.</w:t>
      </w:r>
    </w:p>
    <w:p>
      <w:pPr>
        <w:pStyle w:val="Heading1"/>
      </w:pPr>
      <w:r>
        <w:t>3. 14-DAY DISPUTE PORTAL WINDOW</w:t>
      </w:r>
    </w:p>
    <w:p>
      <w:r>
        <w:t>The carrier is granted a fourteen (14) calendar day dispute window from the date of debit memo generation. Disputes must be submitted through the automated Carrier Portal with certified electronic logging device (ELD) telematics logs. If no dispute is lodged within 14 days, the deduction becomes final, non-appealable, and non-refundable.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