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0E99FF" wp14:paraId="1E616744" wp14:textId="0641A10F">
      <w:pPr>
        <w:shd w:val="clear" w:color="auto" w:fill="FDFCFC"/>
        <w:spacing w:before="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CATASTROPHIC BREAKDOWN &amp; EMERGENCY CROSS-DOCKING MANDATE</w:t>
      </w:r>
    </w:p>
    <w:p xmlns:wp14="http://schemas.microsoft.com/office/word/2010/wordml" w:rsidP="380E99FF" wp14:paraId="571AFB6E" wp14:textId="04DF9F1C">
      <w:pPr>
        <w:shd w:val="clear" w:color="auto" w:fill="FDFCFC"/>
        <w:spacing w:before="12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380E99FF" wp14:paraId="23B9E00E" wp14:textId="001E38E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Addendum ID: VFS-MVA-2024-016-FDX</w:t>
      </w:r>
    </w:p>
    <w:p xmlns:wp14="http://schemas.microsoft.com/office/word/2010/wordml" w:rsidP="380E99FF" wp14:paraId="5C9D6E8A" wp14:textId="09049A2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380E99FF" wp14:paraId="10B44A54" wp14:textId="57998AB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380E99FF" wp14:paraId="0D24020E" wp14:textId="0E6ED23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Quality Assurance (QA)</w:t>
      </w:r>
    </w:p>
    <w:p xmlns:wp14="http://schemas.microsoft.com/office/word/2010/wordml" w:rsidP="380E99FF" wp14:paraId="4C78E39C" wp14:textId="7FC089D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380E99FF" wp14:paraId="71A3F202" wp14:textId="3D387E9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380E99FF" w:rsidR="5981BB85">
        <w:rPr>
          <w:rFonts w:ascii="Consolas" w:hAnsi="Consolas" w:eastAsia="Consolas" w:cs="Consolas"/>
          <w:b w:val="0"/>
          <w:bCs w:val="0"/>
          <w:i w:val="0"/>
          <w:iCs w:val="0"/>
          <w:caps w:val="0"/>
          <w:smallCaps w:val="0"/>
          <w:noProof w:val="0"/>
          <w:color w:val="1F1F1F"/>
          <w:sz w:val="24"/>
          <w:szCs w:val="24"/>
          <w:lang w:val="en-US"/>
        </w:rPr>
        <w:t>VTTK</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of Veterinary Nutrition and Prescription Diets</w:t>
      </w:r>
    </w:p>
    <w:p xmlns:wp14="http://schemas.microsoft.com/office/word/2010/wordml" wp14:paraId="68C484EF" wp14:textId="74AFA6F1"/>
    <w:p xmlns:wp14="http://schemas.microsoft.com/office/word/2010/wordml" w:rsidP="380E99FF" wp14:paraId="659E4FD4" wp14:textId="7213881B">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380E99FF" wp14:paraId="4A905098" wp14:textId="62EEA488">
      <w:pPr>
        <w:shd w:val="clear" w:color="auto" w:fill="FDFCFC"/>
        <w:spacing w:before="0" w:beforeAutospacing="off" w:after="0" w:afterAutospacing="off"/>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governs the strict emergency mitigation requirements imposed upon the Carrier in the event of a catastrophic equipment failure during transit. The Enterprise distributes highly sensitive, medical-grade veterinary nutrition. Prolonged stationary exposure to extreme ambient temperatures or humidity due to a disabled truck poses an imminent threat to product integrity and animal safety. This Addendum establishes the absolute legal mandate for FedEx Freight to autonomously and immediately cross-dock stranded freight to a climate-controlled environment, entirely at the Carrier's expense, to preserve the viability of the medical diets.</w:t>
      </w:r>
    </w:p>
    <w:p xmlns:wp14="http://schemas.microsoft.com/office/word/2010/wordml" wp14:paraId="077B3986" wp14:textId="5882E40A"/>
    <w:p xmlns:wp14="http://schemas.microsoft.com/office/word/2010/wordml" w:rsidP="380E99FF" wp14:paraId="43CF8662" wp14:textId="23BD39D2">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380E99FF" wp14:paraId="43EF9C59" wp14:textId="483D8A53">
      <w:pPr>
        <w:shd w:val="clear" w:color="auto" w:fill="FDFCFC"/>
        <w:spacing w:before="0" w:beforeAutospacing="off" w:after="0" w:afterAutospacing="off"/>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380E99FF" wp14:paraId="2C4DD98E" wp14:textId="65DAEA7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Catastrophic Breakdown: Any mechanical failure, accident, or equipment malfunction that renders the Carrier’s assigned tractor or trailer (</w:t>
      </w:r>
      <w:r w:rsidRPr="380E99FF" w:rsidR="5981BB85">
        <w:rPr>
          <w:rFonts w:ascii="Consolas" w:hAnsi="Consolas" w:eastAsia="Consolas" w:cs="Consolas"/>
          <w:b w:val="0"/>
          <w:bCs w:val="0"/>
          <w:i w:val="0"/>
          <w:iCs w:val="0"/>
          <w:caps w:val="0"/>
          <w:smallCaps w:val="0"/>
          <w:noProof w:val="0"/>
          <w:color w:val="1F1F1F"/>
          <w:sz w:val="24"/>
          <w:szCs w:val="24"/>
          <w:lang w:val="en-US"/>
        </w:rPr>
        <w:t>VTTK</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incapable of resuming transit for a continuous period exceeding twelve (12) hours.</w:t>
      </w:r>
    </w:p>
    <w:p xmlns:wp14="http://schemas.microsoft.com/office/word/2010/wordml" w:rsidP="380E99FF" wp14:paraId="5A965925" wp14:textId="792B820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Emergency Cross-Docking Mandate: The legally binding obligation of the Carrier to physically transload the affected freight from the disabled trailer into a secure, climate-controlled warehouse, or an operational secondary climate-controlled trailer, within exactly twenty-four (24) hours of the initial breakdown timestamp.</w:t>
      </w:r>
    </w:p>
    <w:p xmlns:wp14="http://schemas.microsoft.com/office/word/2010/wordml" w:rsidP="380E99FF" wp14:paraId="0448C5FE" wp14:textId="7CD8D75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Quality Assurance (QA) Hold: A mandatory quarantine classification applied if the Carrier fails to cross-dock the freight within the 24-hour window. The freight is presumed compromised due to temperature/moisture abuse and cannot be delivered to the destination clinic (</w:t>
      </w:r>
      <w:r w:rsidRPr="380E99FF" w:rsidR="5981BB85">
        <w:rPr>
          <w:rFonts w:ascii="Consolas" w:hAnsi="Consolas" w:eastAsia="Consolas" w:cs="Consolas"/>
          <w:b w:val="0"/>
          <w:bCs w:val="0"/>
          <w:i w:val="0"/>
          <w:iCs w:val="0"/>
          <w:caps w:val="0"/>
          <w:smallCaps w:val="0"/>
          <w:noProof w:val="0"/>
          <w:color w:val="1F1F1F"/>
          <w:sz w:val="24"/>
          <w:szCs w:val="24"/>
          <w:lang w:val="en-US"/>
        </w:rPr>
        <w:t>KNA1</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until cleared by laboratory inspection.</w:t>
      </w:r>
    </w:p>
    <w:p xmlns:wp14="http://schemas.microsoft.com/office/word/2010/wordml" w:rsidP="380E99FF" wp14:paraId="21E1D2C6" wp14:textId="498EF84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Force Majeure: An extraordinary, API-verified environmental event (e.g., Level 4/5 severe weather) that physically prevents commercial tow or cross-docking operations.</w:t>
      </w:r>
    </w:p>
    <w:p xmlns:wp14="http://schemas.microsoft.com/office/word/2010/wordml" wp14:paraId="18796F03" wp14:textId="2F556AFD"/>
    <w:p xmlns:wp14="http://schemas.microsoft.com/office/word/2010/wordml" w:rsidP="380E99FF" wp14:paraId="6A4D587C" wp14:textId="4EFCA105">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EMERGENCY CROSS-DOCKING</w:t>
      </w:r>
    </w:p>
    <w:p xmlns:wp14="http://schemas.microsoft.com/office/word/2010/wordml" w:rsidP="380E99FF" wp14:paraId="53ACFD7F" wp14:textId="3995B069">
      <w:pPr>
        <w:shd w:val="clear" w:color="auto" w:fill="FDFCFC"/>
        <w:spacing w:before="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3.1 Autonomous Duty to Mitigate: Upon the occurrence of a Catastrophic Breakdown, FedEx Freight is legally obligated to immediately secure the freight. The Carrier must not wait for Enterprise authorization to act.</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3.2 The 24-Hour Cross-Dock Window: FedEx Freight has exactly twenty-four (24) hours from the moment the truck ceases movement to complete the Emergency Cross-Docking operation. The freight must be verified as secured in a climate-controlled environment before the 24-hour timer expires.</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3.3 Financial Assumption of Mitigation: FedEx Freight assumes 100% of the financial liability for all costs associated with this emergency mitigation. This includes, but is not limited to: commercial towing, third-party warehouse transloading fees, temporary climate-controlled storage, and the dispatch of a secondary recovery truck. The Enterprise shall bear $0.00 of these mitigation costs.</w:t>
      </w:r>
    </w:p>
    <w:p xmlns:wp14="http://schemas.microsoft.com/office/word/2010/wordml" wp14:paraId="7ACCF056" wp14:textId="7495DF33"/>
    <w:p xmlns:wp14="http://schemas.microsoft.com/office/word/2010/wordml" w:rsidP="380E99FF" wp14:paraId="196B4F1E" wp14:textId="074E0FEC">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380E99FF" wp14:paraId="0328FC4C" wp14:textId="37411C43">
      <w:pPr>
        <w:shd w:val="clear" w:color="auto" w:fill="FDFCFC"/>
        <w:spacing w:before="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4.1 AI Copilot as System of Record: FedEx Freight irrevocably agrees that the Enterprise’s AI Logistics Copilot—aggregating SAP ERP data, API telematics (FourKites/project44), and OpenWeather API feeds—shall serve as the unquestionable "Source of Truth" for tracking breakdown durations.</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4.2 Automated Stationary Timers: The AI Copilot will continuously monitor the GPS telemetry of the </w:t>
      </w:r>
      <w:r w:rsidRPr="380E99FF" w:rsidR="5981BB85">
        <w:rPr>
          <w:rFonts w:ascii="Consolas" w:hAnsi="Consolas" w:eastAsia="Consolas" w:cs="Consolas"/>
          <w:b w:val="0"/>
          <w:bCs w:val="0"/>
          <w:i w:val="0"/>
          <w:iCs w:val="0"/>
          <w:caps w:val="0"/>
          <w:smallCaps w:val="0"/>
          <w:noProof w:val="0"/>
          <w:color w:val="1F1F1F"/>
          <w:sz w:val="24"/>
          <w:szCs w:val="24"/>
          <w:lang w:val="en-US"/>
        </w:rPr>
        <w:t>VTTK</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 shipment. If the GPS ping remains stationary on a highway or non-commercial depot for &gt;12 hours, the Copilot officially registers a Catastrophic Breakdown. If telemetry does not confirm movement to a commercial cross-dock facility before the 24-hour threshold, automated breach penalties will be triggered.</w:t>
      </w:r>
    </w:p>
    <w:p xmlns:wp14="http://schemas.microsoft.com/office/word/2010/wordml" wp14:paraId="7AF4FD97" wp14:textId="5C246B92"/>
    <w:p xmlns:wp14="http://schemas.microsoft.com/office/word/2010/wordml" w:rsidP="380E99FF" wp14:paraId="7A06029A" wp14:textId="4A9BB5D6">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380E99FF" wp14:paraId="713B9E6B" wp14:textId="5338562F">
      <w:pPr>
        <w:shd w:val="clear" w:color="auto" w:fill="FDFCFC"/>
        <w:spacing w:before="0" w:beforeAutospacing="off" w:after="0" w:afterAutospacing="off"/>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In the event that FedEx Freight suffers a Catastrophic Breakdown and fails to execute the Emergency Cross-Docking Mandate within 24 hours, the freight is placed on an automatic QA Hold, and the Enterprise AI Copilot will autonomously execute the following severe chargebacks against FedEx Freight’s accounts payable ledger (</w:t>
      </w:r>
      <w:r w:rsidRPr="380E99FF" w:rsidR="5981BB85">
        <w:rPr>
          <w:rFonts w:ascii="Consolas" w:hAnsi="Consolas" w:eastAsia="Consolas" w:cs="Consolas"/>
          <w:b w:val="0"/>
          <w:bCs w:val="0"/>
          <w:i w:val="0"/>
          <w:iCs w:val="0"/>
          <w:caps w:val="0"/>
          <w:smallCaps w:val="0"/>
          <w:noProof w:val="0"/>
          <w:color w:val="1F1F1F"/>
          <w:sz w:val="24"/>
          <w:szCs w:val="24"/>
          <w:lang w:val="en-US"/>
        </w:rPr>
        <w:t>LFA1</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380E99FF" wp14:paraId="002473DE" wp14:textId="6EED4DB6">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5.1 Cargo Endangerment Penalty: FedEx Freight shall be assessed an immediate, flat-rate $2,500.00 USD Cargo Endangerment Penalty for failing to protect the medical-grade freight from environmental exposure.</w:t>
      </w:r>
    </w:p>
    <w:p xmlns:wp14="http://schemas.microsoft.com/office/word/2010/wordml" w:rsidP="380E99FF" wp14:paraId="6CDE29F6" wp14:textId="5D0DA54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5.2 100% Commercial Spoilage Liability: If subsequent QA inspections determine the product is ruined due to the extended lack of climate control, FedEx Freight shall be charged back 100% of the commercial net order value (</w:t>
      </w:r>
      <w:r w:rsidRPr="380E99FF" w:rsidR="5981BB85">
        <w:rPr>
          <w:rFonts w:ascii="Consolas" w:hAnsi="Consolas" w:eastAsia="Consolas" w:cs="Consolas"/>
          <w:b w:val="0"/>
          <w:bCs w:val="0"/>
          <w:i w:val="0"/>
          <w:iCs w:val="0"/>
          <w:caps w:val="0"/>
          <w:smallCaps w:val="0"/>
          <w:noProof w:val="0"/>
          <w:color w:val="1F1F1F"/>
          <w:sz w:val="24"/>
          <w:szCs w:val="24"/>
          <w:lang w:val="en-US"/>
        </w:rPr>
        <w:t>VBAK-NETWR</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of the condemned veterinary food.</w:t>
      </w:r>
    </w:p>
    <w:p xmlns:wp14="http://schemas.microsoft.com/office/word/2010/wordml" w:rsidP="380E99FF" wp14:paraId="3024D4D3" wp14:textId="32D8ABE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5.3 Forfeiture of Freight Invoice: FedEx Freight shall forfeit 100% of the original contracted base freight rate for the failed shipment.</w:t>
      </w:r>
    </w:p>
    <w:p xmlns:wp14="http://schemas.microsoft.com/office/word/2010/wordml" w:rsidP="380E99FF" wp14:paraId="22826DD5" wp14:textId="44B4824C">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5.4 Chargeback Execution: The $2,500.00 penalty (and potential </w:t>
      </w:r>
      <w:r w:rsidRPr="380E99FF" w:rsidR="5981BB85">
        <w:rPr>
          <w:rFonts w:ascii="Consolas" w:hAnsi="Consolas" w:eastAsia="Consolas" w:cs="Consolas"/>
          <w:b w:val="0"/>
          <w:bCs w:val="0"/>
          <w:i w:val="0"/>
          <w:iCs w:val="0"/>
          <w:caps w:val="0"/>
          <w:smallCaps w:val="0"/>
          <w:noProof w:val="0"/>
          <w:color w:val="1F1F1F"/>
          <w:sz w:val="24"/>
          <w:szCs w:val="24"/>
          <w:lang w:val="en-US"/>
        </w:rPr>
        <w:t>NETWR</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 cargo loss) will be autonomously calculated and deducted from FedEx Freight’s current Accounts Payable balance immediately upon the QA Hold determination.</w:t>
      </w:r>
    </w:p>
    <w:p xmlns:wp14="http://schemas.microsoft.com/office/word/2010/wordml" wp14:paraId="7114EB58" wp14:textId="488A0451"/>
    <w:p xmlns:wp14="http://schemas.microsoft.com/office/word/2010/wordml" w:rsidP="380E99FF" wp14:paraId="4AFD2CFC" wp14:textId="07CD0904">
      <w:pPr>
        <w:pStyle w:val="Heading3"/>
        <w:shd w:val="clear" w:color="auto" w:fill="FDFCFC"/>
        <w:spacing w:before="360" w:beforeAutospacing="off" w:after="180" w:afterAutospacing="off" w:line="360" w:lineRule="auto"/>
      </w:pPr>
      <w:r w:rsidRPr="380E99FF" w:rsidR="5981BB85">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380E99FF" wp14:paraId="47FDFF2B" wp14:textId="588670EB">
      <w:pPr>
        <w:shd w:val="clear" w:color="auto" w:fill="FDFCFC"/>
        <w:spacing w:before="0" w:beforeAutospacing="off" w:after="0" w:afterAutospacing="off"/>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Cargo Endangerment Penalty outlined in Section 5 </w:t>
      </w:r>
      <w:r w:rsidRPr="380E99FF" w:rsidR="5981BB85">
        <w:rPr>
          <w:rFonts w:ascii="Times New Roman" w:hAnsi="Times New Roman" w:eastAsia="Times New Roman" w:cs="Times New Roman"/>
          <w:b w:val="0"/>
          <w:bCs w:val="0"/>
          <w:i w:val="1"/>
          <w:iCs w:val="1"/>
          <w:caps w:val="0"/>
          <w:smallCaps w:val="0"/>
          <w:noProof w:val="0"/>
          <w:color w:val="1F1F1F"/>
          <w:sz w:val="24"/>
          <w:szCs w:val="24"/>
          <w:lang w:val="en-US"/>
        </w:rPr>
        <w:t>only</w:t>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380E99FF" wp14:paraId="768D6FDB" wp14:textId="1DDB0277">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6.1 API-Verified Severe Weather (Force Majeure): The AI Copilot (via OpenWeather API integration) verifies a Level 4 or Level 5 Weather Event (e.g., named hurricane, catastrophic blizzard) in the exact geographic location of the broken-down truck, which legally and physically prevents heavy-duty tow trucks or recovery vehicles from safely reaching the Carrier.</w:t>
      </w:r>
    </w:p>
    <w:p xmlns:wp14="http://schemas.microsoft.com/office/word/2010/wordml" w:rsidP="380E99FF" wp14:paraId="7E1EFA24" wp14:textId="3717E150">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6.2 Remote Geography Exemption: The AI Copilot's GPS telematics mathematically verify that the Catastrophic Breakdown occurred in a remote geographic location where no operational commercial cross-dock or climate-controlled warehouse exists within a two-hundred (200) mile radius, making the 24-hour mandate physically impossible to achieve.</w:t>
      </w:r>
    </w:p>
    <w:p xmlns:wp14="http://schemas.microsoft.com/office/word/2010/wordml" w:rsidP="380E99FF" wp14:paraId="527250DA" wp14:textId="5D01F8E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6.3 Police / DOT Highway Closure: The truck broke down in a zone that was subsequently cordoned off by local law enforcement or the Department of Transportation (DOT) for an extended accident investigation, legally barring the Carrier from moving the equipment.</w:t>
      </w:r>
    </w:p>
    <w:p xmlns:wp14="http://schemas.microsoft.com/office/word/2010/wordml" wp14:paraId="70B1B5E4" wp14:textId="7D016567"/>
    <w:p xmlns:wp14="http://schemas.microsoft.com/office/word/2010/wordml" w:rsidP="380E99FF" wp14:paraId="70E94995" wp14:textId="45E2AB12">
      <w:pPr>
        <w:shd w:val="clear" w:color="auto" w:fill="FDFCFC"/>
        <w:spacing w:before="12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380E99FF" wp14:paraId="6060D096" wp14:textId="7254EC32">
      <w:pPr>
        <w:shd w:val="clear" w:color="auto" w:fill="FDFCFC"/>
        <w:spacing w:before="12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380E99FF" w:rsidR="5981BB85">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380E99FF" wp14:paraId="080F59DB" wp14:textId="6199C8C0">
      <w:pPr>
        <w:shd w:val="clear" w:color="auto" w:fill="FDFCFC"/>
        <w:spacing w:before="120" w:beforeAutospacing="off" w:after="0" w:afterAutospacing="off" w:line="360" w:lineRule="auto"/>
      </w:pP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380E99FF" w:rsidR="5981BB85">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380E99FF" w:rsidR="5981BB85">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0A8AFDA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b662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b52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0bd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b12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4D524"/>
    <w:rsid w:val="380E99FF"/>
    <w:rsid w:val="5981BB85"/>
    <w:rsid w:val="6E84D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9475"/>
  <w15:chartTrackingRefBased/>
  <w15:docId w15:val="{19BEF078-8FE1-49C4-B6C3-B84D62DAB0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80E99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0E99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40928b5da7147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2026-08-17T10:57:48.4803630Z</dcterms:created>
  <dcterms:modified xsi:type="dcterms:W3CDTF">2026-08-17T10:58:33.1529890Z</dcterms:modified>
  <dc:creator>SATHISH S</dc:creator>
  <lastModifiedBy>SATHISH S</lastModifiedBy>
</coreProperties>
</file>