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VENDOR CONTRACT ADDENDUM: MEDICAL STOCK-OUT &amp; EMERGENCY MITIGATION LIABILITY</w:t>
      </w:r>
    </w:p>
    <w:p>
      <w:pPr>
        <w:pStyle w:val="Heading1"/>
      </w:pPr>
      <w:r>
        <w:t>1. CRITICAL VETERINARY PRESCRIPTION DIET MANDATE</w:t>
      </w:r>
    </w:p>
    <w:p>
      <w:r>
        <w:t>Applies to all shipments containing materials flagged in SAP MARA as SPECIALTY_DIET_FLAG = TRUE (critical renal, gastrointestinal, hepatic, and post-surgical veterinary diets where patient animal health is directly compromised by stock-outs).</w:t>
      </w:r>
    </w:p>
    <w:p>
      <w:pPr>
        <w:pStyle w:val="Heading1"/>
      </w:pPr>
      <w:r>
        <w:t>2. 48-HOUR EMERGENCY ESCALATION THRESHOLD</w:t>
      </w:r>
    </w:p>
    <w:p>
      <w:r>
        <w:t>If a shipment carrying critical specialty diets is delayed by more than forty-eight (48) consecutive hours from the SAP Planned Goods Issue Date (WADAT), the Enterprise AI Copilot is authorized to immediately deploy emergency mitigation measures, including expedited air freight or dedicated hot-shot courier.</w:t>
      </w:r>
    </w:p>
    <w:p>
      <w:pPr>
        <w:pStyle w:val="Heading1"/>
      </w:pPr>
      <w:r>
        <w:t>3. FULL RATE DIFFERENTIAL REIMBURSEMENT</w:t>
      </w:r>
    </w:p>
    <w:p>
      <w:r>
        <w:t>The delayed 3PL carrier is held contractually and legally liable to reimburse the Enterprise for the full cost difference between the original freight charge and the expedited Air Freight replacement invoice (up to ,000.00 USD per incident).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