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F03F3B" wp14:paraId="5F29BAE2" wp14:textId="1E2F07C0">
      <w:pPr>
        <w:shd w:val="clear" w:color="auto" w:fill="FDFCFC"/>
        <w:spacing w:before="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TELEMATICS DISCONNECT &amp; BLIND-TRACKING PENALTY</w:t>
      </w:r>
    </w:p>
    <w:p xmlns:wp14="http://schemas.microsoft.com/office/word/2010/wordml" w:rsidP="33F03F3B" wp14:paraId="523675C0" wp14:textId="018C1FF0">
      <w:pPr>
        <w:shd w:val="clear" w:color="auto" w:fill="FDFCFC"/>
        <w:spacing w:before="12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33F03F3B" wp14:paraId="25C37EA7" wp14:textId="5333948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Addendum ID: VFS-MVA-2024-020-FDX</w:t>
      </w:r>
    </w:p>
    <w:p xmlns:wp14="http://schemas.microsoft.com/office/word/2010/wordml" w:rsidP="33F03F3B" wp14:paraId="49E7C3E6" wp14:textId="67736E3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33F03F3B" wp14:paraId="26D4ACE5" wp14:textId="662E9B7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33F03F3B" wp14:paraId="3D785116" wp14:textId="4A27774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Legal Compliance</w:t>
      </w:r>
    </w:p>
    <w:p xmlns:wp14="http://schemas.microsoft.com/office/word/2010/wordml" w:rsidP="33F03F3B" wp14:paraId="1B1DD969" wp14:textId="30217A2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33F03F3B" wp14:paraId="03715F5C" wp14:textId="0E8EA42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Applicability: All Outbound Shipments (</w:t>
      </w:r>
      <w:r w:rsidRPr="33F03F3B" w:rsidR="42F25A6F">
        <w:rPr>
          <w:rFonts w:ascii="Consolas" w:hAnsi="Consolas" w:eastAsia="Consolas" w:cs="Consolas"/>
          <w:b w:val="0"/>
          <w:bCs w:val="0"/>
          <w:i w:val="0"/>
          <w:iCs w:val="0"/>
          <w:caps w:val="0"/>
          <w:smallCaps w:val="0"/>
          <w:noProof w:val="0"/>
          <w:color w:val="1F1F1F"/>
          <w:sz w:val="24"/>
          <w:szCs w:val="24"/>
          <w:lang w:val="en-US"/>
        </w:rPr>
        <w:t>VTTK</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of Veterinary Nutrition and Prescription Diets</w:t>
      </w:r>
    </w:p>
    <w:p xmlns:wp14="http://schemas.microsoft.com/office/word/2010/wordml" wp14:paraId="49743D6C" wp14:textId="4E330B46"/>
    <w:p xmlns:wp14="http://schemas.microsoft.com/office/word/2010/wordml" w:rsidP="33F03F3B" wp14:paraId="419815A2" wp14:textId="4C864182">
      <w:pPr>
        <w:pStyle w:val="Heading3"/>
        <w:shd w:val="clear" w:color="auto" w:fill="FDFCFC"/>
        <w:spacing w:before="360" w:beforeAutospacing="off" w:after="180" w:afterAutospacing="off" w:line="360" w:lineRule="auto"/>
      </w:pPr>
      <w:r w:rsidRPr="33F03F3B" w:rsidR="42F25A6F">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33F03F3B" wp14:paraId="6989796A" wp14:textId="5D68A9B5">
      <w:pPr>
        <w:shd w:val="clear" w:color="auto" w:fill="FDFCFC"/>
        <w:spacing w:before="0" w:beforeAutospacing="off" w:after="0" w:afterAutospacing="off"/>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establishes the absolute requirement for continuous, real-time freight visibility. The Enterprise distributes life-sustaining veterinary nutrition operating on highly sensitive timelines. The Enterprise’s AI Logistics Copilot relies entirely on uninterrupted API telemetry to predict delays, orchestrate emergency mitigation, and ensure product integrity. When a Carrier "goes dark" in transit, it blinds the Enterprise to potential temperature abuse or route deviations, directly endangering animal health and clinical supply chains. This document codifies the strict financial penalties and forfeiture of liability exemptions when FedEx Freight fails to maintain continuous GPS connectivity.</w:t>
      </w:r>
    </w:p>
    <w:p xmlns:wp14="http://schemas.microsoft.com/office/word/2010/wordml" wp14:paraId="201E603F" wp14:textId="284D0032"/>
    <w:p xmlns:wp14="http://schemas.microsoft.com/office/word/2010/wordml" w:rsidP="33F03F3B" wp14:paraId="174C976C" wp14:textId="7A92F52D">
      <w:pPr>
        <w:pStyle w:val="Heading3"/>
        <w:shd w:val="clear" w:color="auto" w:fill="FDFCFC"/>
        <w:spacing w:before="360" w:beforeAutospacing="off" w:after="180" w:afterAutospacing="off" w:line="360" w:lineRule="auto"/>
      </w:pPr>
      <w:r w:rsidRPr="33F03F3B" w:rsidR="42F25A6F">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33F03F3B" wp14:paraId="3CC9F661" wp14:textId="13896584">
      <w:pPr>
        <w:shd w:val="clear" w:color="auto" w:fill="FDFCFC"/>
        <w:spacing w:before="0" w:beforeAutospacing="off" w:after="0" w:afterAutospacing="off"/>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33F03F3B" wp14:paraId="4C2311E0" wp14:textId="0964055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Continuous API GPS Tracking: The Carrier’s legal obligation to transmit real-time geographic coordinates and equipment status updates via integrated API telematics (e.g., FourKites, project44, or ELD direct integration) from the moment of origin departure (</w:t>
      </w:r>
      <w:r w:rsidRPr="33F03F3B" w:rsidR="42F25A6F">
        <w:rPr>
          <w:rFonts w:ascii="Consolas" w:hAnsi="Consolas" w:eastAsia="Consolas" w:cs="Consolas"/>
          <w:b w:val="0"/>
          <w:bCs w:val="0"/>
          <w:i w:val="0"/>
          <w:iCs w:val="0"/>
          <w:caps w:val="0"/>
          <w:smallCaps w:val="0"/>
          <w:noProof w:val="0"/>
          <w:color w:val="1F1F1F"/>
          <w:sz w:val="24"/>
          <w:szCs w:val="24"/>
          <w:lang w:val="en-US"/>
        </w:rPr>
        <w:t>VTTK-DPABF</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to the final destination drop-off.</w:t>
      </w:r>
    </w:p>
    <w:p xmlns:wp14="http://schemas.microsoft.com/office/word/2010/wordml" w:rsidP="33F03F3B" wp14:paraId="528D3793" wp14:textId="20866D3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Telematics Disconnect (Blind Tracking): A material breach of the visibility SLA defined as any period where the Carrier’s assigned equipment fails to transmit a valid GPS ping to the Enterprise’s API gateway for more than twelve (12) consecutive hours.</w:t>
      </w:r>
    </w:p>
    <w:p xmlns:wp14="http://schemas.microsoft.com/office/word/2010/wordml" w:rsidP="33F03F3B" wp14:paraId="78EC277C" wp14:textId="5A16FE83">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Force Majeure Status: A temporary waiver of delay penalties granted during API-verified catastrophic weather events (Level 4/5).</w:t>
      </w:r>
    </w:p>
    <w:p xmlns:wp14="http://schemas.microsoft.com/office/word/2010/wordml" w:rsidP="33F03F3B" wp14:paraId="2126BFBE" wp14:textId="685D963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Quality Assurance (QA) Hold: A strict quarantine status applied to freight whose physical integrity cannot be verified due to prolonged transit delays or blind-tracking, requiring laboratory or visual inspection prior to commercial release.</w:t>
      </w:r>
    </w:p>
    <w:p xmlns:wp14="http://schemas.microsoft.com/office/word/2010/wordml" wp14:paraId="28659458" wp14:textId="63E0B6E8"/>
    <w:p xmlns:wp14="http://schemas.microsoft.com/office/word/2010/wordml" w:rsidP="33F03F3B" wp14:paraId="60F43BD6" wp14:textId="12D3B84B">
      <w:pPr>
        <w:pStyle w:val="Heading3"/>
        <w:shd w:val="clear" w:color="auto" w:fill="FDFCFC"/>
        <w:spacing w:before="360" w:beforeAutospacing="off" w:after="180" w:afterAutospacing="off" w:line="360" w:lineRule="auto"/>
      </w:pPr>
      <w:r w:rsidRPr="33F03F3B" w:rsidR="42F25A6F">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TELEMATICS DISCONNECT</w:t>
      </w:r>
    </w:p>
    <w:p xmlns:wp14="http://schemas.microsoft.com/office/word/2010/wordml" w:rsidP="33F03F3B" wp14:paraId="64E28C65" wp14:textId="46141A7F">
      <w:pPr>
        <w:shd w:val="clear" w:color="auto" w:fill="FDFCFC"/>
        <w:spacing w:before="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3.1 Duty to Transmit: By accepting the freight tender, FedEx Freight legally commits to ensuring their Electronic Logging Devices (ELD) or tracking applications remain powered on, integrated, and transmitting at all times while in possession of Enterprise cargo.</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3.2 The 12-Hour Critical Threshold: If a shipment (</w:t>
      </w:r>
      <w:r w:rsidRPr="33F03F3B" w:rsidR="42F25A6F">
        <w:rPr>
          <w:rFonts w:ascii="Consolas" w:hAnsi="Consolas" w:eastAsia="Consolas" w:cs="Consolas"/>
          <w:b w:val="0"/>
          <w:bCs w:val="0"/>
          <w:i w:val="0"/>
          <w:iCs w:val="0"/>
          <w:caps w:val="0"/>
          <w:smallCaps w:val="0"/>
          <w:noProof w:val="0"/>
          <w:color w:val="1F1F1F"/>
          <w:sz w:val="24"/>
          <w:szCs w:val="24"/>
          <w:lang w:val="en-US"/>
        </w:rPr>
        <w:t>VTTK</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goes "dark" and the Enterprise AI Copilot registers a cessation of GPS signal for a continuous duration exceeding twelve (12) hours, the shipment is officially classified as entering a Telematics Disconnect.</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3.3 Voiding of Environmental Exemptions: If a Telematics Disconnect occurs, the Enterprise can no longer verify the truck's proximity to severe weather. Consequently, the occurrence of a Telematics Disconnect automatically and irrevocably voids any existing or future Force Majeure/Severe Weather liability waivers for that specific shipment.</w:t>
      </w:r>
    </w:p>
    <w:p xmlns:wp14="http://schemas.microsoft.com/office/word/2010/wordml" wp14:paraId="1275BBFB" wp14:textId="0FF14F3F"/>
    <w:p xmlns:wp14="http://schemas.microsoft.com/office/word/2010/wordml" w:rsidP="33F03F3B" wp14:paraId="713A12D4" wp14:textId="563659CD">
      <w:pPr>
        <w:pStyle w:val="Heading3"/>
        <w:shd w:val="clear" w:color="auto" w:fill="FDFCFC"/>
        <w:spacing w:before="360" w:beforeAutospacing="off" w:after="180" w:afterAutospacing="off" w:line="360" w:lineRule="auto"/>
      </w:pPr>
      <w:r w:rsidRPr="33F03F3B" w:rsidR="42F25A6F">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33F03F3B" wp14:paraId="705D41D1" wp14:textId="75824643">
      <w:pPr>
        <w:shd w:val="clear" w:color="auto" w:fill="FDFCFC"/>
        <w:spacing w:before="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4.1 AI Copilot as System of Record: FedEx Freight irrevocably agrees that the Enterprise’s AI Logistics Copilot—acting as the aggregator for API telematics (FourKites/project44)—shall serve as the unquestionable, singular "Source of Truth" for determining the presence and duration of a signal loss.</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4.2 Invalidation of Subjective Evidence: Manual dispatcher emails stating "the driver is in a dead zone" or post-delivery submission of historical driver logs will not reverse the Telematics Disconnect classification. Compliance is strictly measured by the real-time receipt of API payloads by the Enterprise system.</w:t>
      </w:r>
    </w:p>
    <w:p xmlns:wp14="http://schemas.microsoft.com/office/word/2010/wordml" wp14:paraId="2C1BDA65" wp14:textId="5D1CED5A"/>
    <w:p xmlns:wp14="http://schemas.microsoft.com/office/word/2010/wordml" w:rsidP="33F03F3B" wp14:paraId="268D476C" wp14:textId="26FC9F6E">
      <w:pPr>
        <w:pStyle w:val="Heading3"/>
        <w:shd w:val="clear" w:color="auto" w:fill="FDFCFC"/>
        <w:spacing w:before="360" w:beforeAutospacing="off" w:after="180" w:afterAutospacing="off" w:line="360" w:lineRule="auto"/>
      </w:pPr>
      <w:r w:rsidRPr="33F03F3B" w:rsidR="42F25A6F">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33F03F3B" wp14:paraId="2A823B39" wp14:textId="57DC0DD8">
      <w:pPr>
        <w:shd w:val="clear" w:color="auto" w:fill="FDFCFC"/>
        <w:spacing w:before="0" w:beforeAutospacing="off" w:after="0" w:afterAutospacing="off"/>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In the event of a Telematics Disconnect exceeding twelve (12) hours, FedEx Freight assumes immediate financial liability for the operational disruption. The Enterprise AI Copilot will autonomously execute the following chargebacks against FedEx Freight’s accounts payable ledger (</w:t>
      </w:r>
      <w:r w:rsidRPr="33F03F3B" w:rsidR="42F25A6F">
        <w:rPr>
          <w:rFonts w:ascii="Consolas" w:hAnsi="Consolas" w:eastAsia="Consolas" w:cs="Consolas"/>
          <w:b w:val="0"/>
          <w:bCs w:val="0"/>
          <w:i w:val="0"/>
          <w:iCs w:val="0"/>
          <w:caps w:val="0"/>
          <w:smallCaps w:val="0"/>
          <w:noProof w:val="0"/>
          <w:color w:val="1F1F1F"/>
          <w:sz w:val="24"/>
          <w:szCs w:val="24"/>
          <w:lang w:val="en-US"/>
        </w:rPr>
        <w:t>LFA1</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C-901):</w:t>
      </w:r>
    </w:p>
    <w:p xmlns:wp14="http://schemas.microsoft.com/office/word/2010/wordml" w:rsidP="33F03F3B" wp14:paraId="06B01BD9" wp14:textId="69D88BB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5.1 Blind-Tracking Penalty: FedEx Freight shall be assessed a strict, flat-rate $200.00 USD Blind-Tracking Penalty per impacted shipment (</w:t>
      </w:r>
      <w:r w:rsidRPr="33F03F3B" w:rsidR="42F25A6F">
        <w:rPr>
          <w:rFonts w:ascii="Consolas" w:hAnsi="Consolas" w:eastAsia="Consolas" w:cs="Consolas"/>
          <w:b w:val="0"/>
          <w:bCs w:val="0"/>
          <w:i w:val="0"/>
          <w:iCs w:val="0"/>
          <w:caps w:val="0"/>
          <w:smallCaps w:val="0"/>
          <w:noProof w:val="0"/>
          <w:color w:val="1F1F1F"/>
          <w:sz w:val="24"/>
          <w:szCs w:val="24"/>
          <w:lang w:val="en-US"/>
        </w:rPr>
        <w:t>VTTK</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for the failure to maintain required visibility.</w:t>
      </w:r>
    </w:p>
    <w:p xmlns:wp14="http://schemas.microsoft.com/office/word/2010/wordml" w:rsidP="33F03F3B" wp14:paraId="0BF7FF2B" wp14:textId="609E9FFD">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5.2 Reinstatement of Standard Delay Penalties: Because the Telematics Disconnect automatically voids all weather exemptions (Section 3.3), if the shipment ultimately arrives past the SAP Promised Delivery Date (</w:t>
      </w:r>
      <w:r w:rsidRPr="33F03F3B" w:rsidR="42F25A6F">
        <w:rPr>
          <w:rFonts w:ascii="Consolas" w:hAnsi="Consolas" w:eastAsia="Consolas" w:cs="Consolas"/>
          <w:b w:val="0"/>
          <w:bCs w:val="0"/>
          <w:i w:val="0"/>
          <w:iCs w:val="0"/>
          <w:caps w:val="0"/>
          <w:smallCaps w:val="0"/>
          <w:noProof w:val="0"/>
          <w:color w:val="1F1F1F"/>
          <w:sz w:val="24"/>
          <w:szCs w:val="24"/>
          <w:lang w:val="en-US"/>
        </w:rPr>
        <w:t>VBAK-VDATU</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FedEx Freight shall be subject to the standard Standard Transit Delay penalty of a 10% deduction of the base freight rate for every 24 hours delayed.</w:t>
      </w:r>
    </w:p>
    <w:p xmlns:wp14="http://schemas.microsoft.com/office/word/2010/wordml" w:rsidP="33F03F3B" wp14:paraId="78C1D8EA" wp14:textId="02952C3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5.3 QA Inspection Liability (If Applicable): If the blind-tracking period obscures a delay that pushes the total transit time past strict environmental thresholds, triggering a QA Hold, FedEx Freight shall also bear the $250.00 USD QA Processing Fee.</w:t>
      </w:r>
    </w:p>
    <w:p xmlns:wp14="http://schemas.microsoft.com/office/word/2010/wordml" w:rsidP="33F03F3B" wp14:paraId="6246E162" wp14:textId="5E15B22B">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5.4 Chargeback Execution: The $200.00 USD penalty (along with any reinstated delay or QA fees) will be autonomously deducted from FedEx Freight’s current Accounts Payable balance immediately upon delivery confirmation.</w:t>
      </w:r>
    </w:p>
    <w:p xmlns:wp14="http://schemas.microsoft.com/office/word/2010/wordml" wp14:paraId="0662ED3A" wp14:textId="1DE1710E"/>
    <w:p xmlns:wp14="http://schemas.microsoft.com/office/word/2010/wordml" w:rsidP="33F03F3B" wp14:paraId="715777AD" wp14:textId="779A10D5">
      <w:pPr>
        <w:pStyle w:val="Heading3"/>
        <w:shd w:val="clear" w:color="auto" w:fill="FDFCFC"/>
        <w:spacing w:before="360" w:beforeAutospacing="off" w:after="180" w:afterAutospacing="off" w:line="360" w:lineRule="auto"/>
      </w:pPr>
      <w:r w:rsidRPr="33F03F3B" w:rsidR="42F25A6F">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33F03F3B" wp14:paraId="54B52C6F" wp14:textId="1DC2F2A0">
      <w:pPr>
        <w:shd w:val="clear" w:color="auto" w:fill="FDFCFC"/>
        <w:spacing w:before="0" w:beforeAutospacing="off" w:after="0" w:afterAutospacing="off"/>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$200.00 USD Blind-Tracking Penalty outlined in Section 5 </w:t>
      </w:r>
      <w:r w:rsidRPr="33F03F3B" w:rsidR="42F25A6F">
        <w:rPr>
          <w:rFonts w:ascii="Times New Roman" w:hAnsi="Times New Roman" w:eastAsia="Times New Roman" w:cs="Times New Roman"/>
          <w:b w:val="0"/>
          <w:bCs w:val="0"/>
          <w:i w:val="1"/>
          <w:iCs w:val="1"/>
          <w:caps w:val="0"/>
          <w:smallCaps w:val="0"/>
          <w:noProof w:val="0"/>
          <w:color w:val="1F1F1F"/>
          <w:sz w:val="24"/>
          <w:szCs w:val="24"/>
          <w:lang w:val="en-US"/>
        </w:rPr>
        <w:t>only</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conditions:</w:t>
      </w:r>
    </w:p>
    <w:p xmlns:wp14="http://schemas.microsoft.com/office/word/2010/wordml" w:rsidP="33F03F3B" wp14:paraId="635F4038" wp14:textId="52755A8D">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6.1 Verified Third-Party API Outage: FedEx Freight provides official documentation proving a global or regional system outage of the contracted telematics provider (e.g., an official FourKites or project44 system-down bulletin) that explicitly covers the exact 12-hour window in question.</w:t>
      </w:r>
    </w:p>
    <w:p xmlns:wp14="http://schemas.microsoft.com/office/word/2010/wordml" w:rsidP="33F03F3B" wp14:paraId="4687D585" wp14:textId="25CCCE46">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6.2 Enterprise Gateway Failure: The Enterprise's internal IT department verifies that the Enterprise’s own SAP/API receiving gateway was down or rejecting valid incoming payloads during the 12-hour period.</w:t>
      </w:r>
    </w:p>
    <w:p xmlns:wp14="http://schemas.microsoft.com/office/word/2010/wordml" w:rsidP="33F03F3B" wp14:paraId="7FAABB59" wp14:textId="2B200B44">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xml:space="preserve">Note on "Dead Zones": General cellular dead zones, driver failure to charge mobile tracking devices, or localized ELD hardware malfunctions do </w:t>
      </w:r>
      <w:r w:rsidRPr="33F03F3B" w:rsidR="42F25A6F">
        <w:rPr>
          <w:rFonts w:ascii="Times New Roman" w:hAnsi="Times New Roman" w:eastAsia="Times New Roman" w:cs="Times New Roman"/>
          <w:b w:val="0"/>
          <w:bCs w:val="0"/>
          <w:i w:val="1"/>
          <w:iCs w:val="1"/>
          <w:caps w:val="0"/>
          <w:smallCaps w:val="0"/>
          <w:noProof w:val="0"/>
          <w:color w:val="1F1F1F"/>
          <w:sz w:val="24"/>
          <w:szCs w:val="24"/>
          <w:lang w:val="en-US"/>
        </w:rPr>
        <w:t>not</w:t>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xml:space="preserve"> constitute valid exemptions. The 12-hour threshold provides ample time for a truck to exit any standard North American cellular dead zone.</w:t>
      </w:r>
    </w:p>
    <w:p xmlns:wp14="http://schemas.microsoft.com/office/word/2010/wordml" wp14:paraId="51428FA6" wp14:textId="47FE8270"/>
    <w:p xmlns:wp14="http://schemas.microsoft.com/office/word/2010/wordml" w:rsidP="33F03F3B" wp14:paraId="4449A8FD" wp14:textId="28AB36A7">
      <w:pPr>
        <w:shd w:val="clear" w:color="auto" w:fill="FDFCFC"/>
        <w:spacing w:before="12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33F03F3B" wp14:paraId="32E768B1" wp14:textId="60381979">
      <w:pPr>
        <w:shd w:val="clear" w:color="auto" w:fill="FDFCFC"/>
        <w:spacing w:before="12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33F03F3B" w:rsidR="42F25A6F">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33F03F3B" wp14:paraId="1CD09B9F" wp14:textId="269991BD">
      <w:pPr>
        <w:shd w:val="clear" w:color="auto" w:fill="FDFCFC"/>
        <w:spacing w:before="120" w:beforeAutospacing="off" w:after="0" w:afterAutospacing="off" w:line="360" w:lineRule="auto"/>
      </w:pP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33F03F3B" w:rsidR="42F25A6F">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33F03F3B" w:rsidR="42F25A6F">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056F298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263f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9cf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9e2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edc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012CC"/>
    <w:rsid w:val="33F03F3B"/>
    <w:rsid w:val="42F25A6F"/>
    <w:rsid w:val="56F01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4044"/>
  <w15:chartTrackingRefBased/>
  <w15:docId w15:val="{A0FAAF02-DE4A-4D43-9716-F60AD457E8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3F03F3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3F03F3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e5007cb46e40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2026-08-17T11:39:50.0536055Z</dcterms:created>
  <dcterms:modified xsi:type="dcterms:W3CDTF">2026-08-17T11:41:14.7572186Z</dcterms:modified>
  <dc:creator>SATHISH S</dc:creator>
  <lastModifiedBy>SATHISH S</lastModifiedBy>
</coreProperties>
</file>