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VENDOR CONTRACT ADDENDUM: WEATHER-MANDATED MODE SHIFT (ROAD TO RAIL) POLICY</w:t>
      </w:r>
    </w:p>
    <w:p>
      <w:pPr>
        <w:pStyle w:val="Heading1"/>
      </w:pPr>
      <w:r>
        <w:t>1. TRIGGER CONDITIONS FOR INTERMODAL DIVERSION</w:t>
      </w:r>
    </w:p>
    <w:p>
      <w:r>
        <w:t>When severe winter storms or highway closures block major interstate freight corridors for more than forty-eight (48) consecutive hours, road carriers are contractually mandated to divert Full Truckload (FTL) shipments to designated rail intermodal networks.</w:t>
      </w:r>
    </w:p>
    <w:p>
      <w:pPr>
        <w:pStyle w:val="Heading1"/>
      </w:pPr>
      <w:r>
        <w:t>2. RATE LOCK INTEGRITY</w:t>
      </w:r>
    </w:p>
    <w:p>
      <w:r>
        <w:t>The carrier is legally prohibited from applying emergency surcharges or rate markups for the intermodal mode shift. Base contracted line-haul rates remain strictly locked.</w:t>
      </w:r>
    </w:p>
    <w:p>
      <w:pPr>
        <w:pStyle w:val="Heading1"/>
      </w:pPr>
      <w:r>
        <w:t>3. DRAYAGE COST ABSORPTION</w:t>
      </w:r>
    </w:p>
    <w:p>
      <w:r>
        <w:t>All ramp drayage, rail billing coordination, and cross-dock handling expenses incurred during the mode shift are absorbed entirely by the primary 3PL carrier.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