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BANGALORE SEVERE WEATHER PROTOCOL &amp; FREIGHT ADJUDICATION MATRIX</w:t>
      </w:r>
    </w:p>
    <w:p>
      <w:r>
        <w:t>Monitored Logistics Hub: Bangalore Commercial Logistics Corridor</w:t>
        <w:br/>
        <w:t>Generated: 2026-09-09 16:49:43 | Total Telemetry Events Analyzed: 4</w:t>
        <w:br/>
        <w:t>Observed Telemetry Extremes: Peak Temp: 31.4°C | Peak Wind: 19.7 m/s | Peak Rain: 0.0 mm/h | Min Visibility: 10.00 km</w:t>
      </w:r>
    </w:p>
    <w:p>
      <w:pPr>
        <w:pStyle w:val="Heading1"/>
      </w:pPr>
      <w:r>
        <w:t>1. EXTRACTED METEOROLOGICAL INSIGHTS &amp; EXPOSURE PROFILE</w:t>
      </w:r>
    </w:p>
    <w:p>
      <w:r>
        <w:t>• Primary Hazard Vector: Gale Force Crosswinds (19.7 m/s) recorded in Bangalore logistics cluster.</w:t>
        <w:br/>
        <w:t>• Secondary Hazard Vector: Ambient atmospheric stress causing transit velocity degradation and cargo vulnerability.</w:t>
        <w:br/>
        <w:t>• Critical Risk Window: Elevated highway exposure, linehaul velocity reduction (-25% to -40%), and thermal/moisture packaging stress.</w:t>
      </w:r>
    </w:p>
    <w:p>
      <w:pPr>
        <w:pStyle w:val="Heading1"/>
      </w:pPr>
      <w:r>
        <w:t>2. LOGISTICS CORRIDOR &amp; CHOKE POINT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Logistics Corridor / Choke Point</w:t>
            </w:r>
          </w:p>
        </w:tc>
        <w:tc>
          <w:tcPr>
            <w:tcW w:type="dxa" w:w="2160"/>
          </w:tcPr>
          <w:p>
            <w:r>
              <w:t>Hazard Level</w:t>
            </w:r>
          </w:p>
        </w:tc>
        <w:tc>
          <w:tcPr>
            <w:tcW w:type="dxa" w:w="2160"/>
          </w:tcPr>
          <w:p>
            <w:r>
              <w:t>Vulnerability Profile</w:t>
            </w:r>
          </w:p>
        </w:tc>
        <w:tc>
          <w:tcPr>
            <w:tcW w:type="dxa" w:w="2160"/>
          </w:tcPr>
          <w:p>
            <w:r>
              <w:t>Mandatory Fleet Directive</w:t>
            </w:r>
          </w:p>
        </w:tc>
      </w:tr>
      <w:tr>
        <w:tc>
          <w:tcPr>
            <w:tcW w:type="dxa" w:w="2160"/>
          </w:tcPr>
          <w:p>
            <w:r>
              <w:t>NH-44 (Hosur Road / Electronic City)</w:t>
            </w:r>
          </w:p>
        </w:tc>
        <w:tc>
          <w:tcPr>
            <w:tcW w:type="dxa" w:w="2160"/>
          </w:tcPr>
          <w:p>
            <w:r>
              <w:t>🔴 HIGH</w:t>
            </w:r>
          </w:p>
        </w:tc>
        <w:tc>
          <w:tcPr>
            <w:tcW w:type="dxa" w:w="2160"/>
          </w:tcPr>
          <w:p>
            <w:r>
              <w:t>Arterial toll plaza bottlenecks &amp; gridlock</w:t>
            </w:r>
          </w:p>
        </w:tc>
        <w:tc>
          <w:tcPr>
            <w:tcW w:type="dxa" w:w="2160"/>
          </w:tcPr>
          <w:p>
            <w:r>
              <w:t>Inject +6.0h safety buffer for linehauls connecting to Tamil Nadu.</w:t>
            </w:r>
          </w:p>
        </w:tc>
      </w:tr>
      <w:tr>
        <w:tc>
          <w:tcPr>
            <w:tcW w:type="dxa" w:w="2160"/>
          </w:tcPr>
          <w:p>
            <w:r>
              <w:t>Nelamangala Transshipment Yard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Multi-stop LTL consolidation queue</w:t>
            </w:r>
          </w:p>
        </w:tc>
        <w:tc>
          <w:tcPr>
            <w:tcW w:type="dxa" w:w="2160"/>
          </w:tcPr>
          <w:p>
            <w:r>
              <w:t>Enforce FTL direct routing for critical veterinary diets.</w:t>
            </w:r>
          </w:p>
        </w:tc>
      </w:tr>
      <w:tr>
        <w:tc>
          <w:tcPr>
            <w:tcW w:type="dxa" w:w="2160"/>
          </w:tcPr>
          <w:p>
            <w:r>
              <w:t>Devanahalli Airport Logistics Belt</w:t>
            </w:r>
          </w:p>
        </w:tc>
        <w:tc>
          <w:tcPr>
            <w:tcW w:type="dxa" w:w="2160"/>
          </w:tcPr>
          <w:p>
            <w:r>
              <w:t>🟢 LOW</w:t>
            </w:r>
          </w:p>
        </w:tc>
        <w:tc>
          <w:tcPr>
            <w:tcW w:type="dxa" w:w="2160"/>
          </w:tcPr>
          <w:p>
            <w:r>
              <w:t>Air freight cold-chain staging</w:t>
            </w:r>
          </w:p>
        </w:tc>
        <w:tc>
          <w:tcPr>
            <w:tcW w:type="dxa" w:w="2160"/>
          </w:tcPr>
          <w:p>
            <w:r>
              <w:t>Standard pre-conditioned reefer transfer protocol.</w:t>
            </w:r>
          </w:p>
        </w:tc>
      </w:tr>
    </w:tbl>
    <w:p/>
    <w:p>
      <w:pPr>
        <w:pStyle w:val="Heading1"/>
      </w:pPr>
      <w:r>
        <w:t>3. BINDING OPERATIONAL &amp; QUALITY ASSURANCE (QA) DIRECTIVES</w:t>
      </w:r>
    </w:p>
    <w:p>
      <w:r>
        <w:t>[RULE-W-BAN-01] TRAILER EQUIPMENT &amp; FLEET RESTRICTION:</w:t>
        <w:br/>
        <w:t xml:space="preserve">  Wind speed &gt;= 15.0 m/s or heavy rain &gt;= 20.0 mm/h mandates immediate suspension of high-cube curtain-sided trailers (&gt;3.0m height). Dispatch must substitute low-profile rigid trucks.</w:t>
      </w:r>
    </w:p>
    <w:p>
      <w:r>
        <w:t>[RULE-W-BAN-02] FORCE MAJEURE &amp; SLA ADJUDICATION (CLAUSE 4.2):</w:t>
        <w:br/>
        <w:t xml:space="preserve">  Weather conditions exceeding official alert thresholds qualify as IMD-recognized Severe Meteorological Events. Carrier delay penalties ($500/day -&gt; $0.00) are waived upon submission of verified telematics logs.</w:t>
      </w:r>
    </w:p>
    <w:p>
      <w:r>
        <w:t>[RULE-W-BAN-03] COLD-CHAIN &amp; MOISTURE INTEGRITY PROTOCOL:</w:t>
        <w:br/>
        <w:t xml:space="preserve">  Ambient temperature &gt;40.0°C exceeding 4.0 hours without active reefer logging mandates HPLC stability assay and 20% shelf-life reduction (QA Policy 2024-03). Carton moisture &gt;12% mandates 100% rejection.</w:t>
      </w:r>
    </w:p>
    <w:p>
      <w:r>
        <w:t>[RULE-W-BAN-04] DYNAMIC ETA BUFFER &amp; REDELIVERY FEE WAIVER:</w:t>
        <w:br/>
        <w:t xml:space="preserve">  Automatically inject a +4.0h to +8.0h dynamic safety buffer into predicted arrival time (PDD). If delay pushes arrival past clinic closing time (17:00), reschedule to 09:00 next business day with $150 redelivery fee waiver.</w:t>
      </w:r>
    </w:p>
    <w:p>
      <w:pPr>
        <w:pStyle w:val="Heading1"/>
      </w:pPr>
      <w:r>
        <w:t>4. COPILOT DETERMINISTIC ACTION CHECKLIST</w:t>
      </w:r>
    </w:p>
    <w:p>
      <w:r>
        <w:t>[x] Step 1: Query live weather telemetry in Bangalore against alert thresholds (Temp &gt;40°C, Wind &gt;15m/s, Rain &gt;20mm/h).</w:t>
      </w:r>
    </w:p>
    <w:p>
      <w:r>
        <w:t>[x] Step 2: Cross-reference active SAP linehauls (sap_vttk) entering Bangalore and check carrier equipment profile.</w:t>
      </w:r>
    </w:p>
    <w:p>
      <w:r>
        <w:t>[x] Step 3: Apply [RULE-W-BAN-02] Force Majeure relief to waive SLA penalties if alert conditions verified.</w:t>
      </w:r>
    </w:p>
    <w:p>
      <w:r>
        <w:t>[x] Step 4: Dispatch automated Actionable Adaptive Card to Regional Logistics Director for approvals exceeding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