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Extreme Weather / Hazard Transportation Disruption Pattern &amp; Risk Analysis</w:t>
      </w:r>
    </w:p>
    <w:p>
      <w:r>
        <w:t>Report Generated: 2026-09-08 14:22:31</w:t>
      </w:r>
    </w:p>
    <w:p>
      <w:r>
        <w:t>Transit Modality Category: Extreme Weather / Hazard Logistics Operations</w:t>
      </w:r>
    </w:p>
    <w:p>
      <w:r>
        <w:t>Total Sector Incidents Analyzed: 5</w:t>
      </w:r>
    </w:p>
    <w:p>
      <w:pPr>
        <w:pStyle w:val="Heading1"/>
      </w:pPr>
      <w:r>
        <w:t>1. Sector Disruption Profile &amp; Vulnerability</w:t>
      </w:r>
    </w:p>
    <w:p>
      <w:r>
        <w:t>This operational brief outlines systemic risk patterns, union actions, and transit vulnerabilities specific to Extreme Weather / Hazard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China: 3 recorded incident(s)</w:t>
      </w:r>
    </w:p>
    <w:p>
      <w:r>
        <w:t>• Port of Shanghai: 1 recorded incident(s)</w:t>
      </w:r>
    </w:p>
    <w:p>
      <w:r>
        <w:t>• Global: 1 recorded incident(s)</w:t>
      </w:r>
    </w:p>
    <w:p>
      <w:pPr>
        <w:pStyle w:val="Heading1"/>
      </w:pPr>
      <w:r>
        <w:t>3. Key Sector Incidents &amp; Historical Evidence</w:t>
      </w:r>
    </w:p>
    <w:p>
      <w:r>
        <w:rPr>
          <w:b/>
        </w:rPr>
        <w:t>Case #1: Super Typhoon Bavi Affects Millions Across China - Tempo.co English</w:t>
        <w:br/>
      </w:r>
      <w:r>
        <w:t>• Date: None | Source: Unknown</w:t>
        <w:br/>
      </w:r>
    </w:p>
    <w:p>
      <w:r>
        <w:rPr>
          <w:b/>
        </w:rPr>
        <w:t>Case #2: Shanghai, Ningbo Ports Reopen After Typhoon Bavi Shutdowns - Yahoo</w:t>
        <w:br/>
      </w:r>
      <w:r>
        <w:t>• Date: None | Source: Unknown</w:t>
        <w:br/>
      </w:r>
    </w:p>
    <w:p>
      <w:r>
        <w:rPr>
          <w:b/>
        </w:rPr>
        <w:t>Case #3: Typhoon Bavi wreaks havoc across nation's eastern coast - chinadailyhk</w:t>
        <w:br/>
      </w:r>
      <w:r>
        <w:t>• Date: None | Source: Unknown</w:t>
        <w:br/>
      </w:r>
    </w:p>
    <w:p>
      <w:r>
        <w:rPr>
          <w:b/>
        </w:rPr>
        <w:t>Case #4: Air cargo delays hit South China as Typhoon Noul nears coast - STAT Times</w:t>
        <w:br/>
      </w:r>
      <w:r>
        <w:t>• Date: None | Source: Unknown</w:t>
        <w:br/>
      </w:r>
    </w:p>
    <w:p>
      <w:r>
        <w:rPr>
          <w:b/>
        </w:rPr>
        <w:t>Case #5: Typhoon Bavi made landfall in China’s eastern province of Zhejiang late on Saturday night. Chinese authorities evacuated more than 1.7 million people before the storm, which had maximum sustained winds of 89 mph near its center. https://wapo.st/4fvhilx - facebook.com</w:t>
        <w:br/>
      </w:r>
      <w:r>
        <w:t>• Date: None | Source: Unknown</w:t>
        <w:br/>
      </w:r>
    </w:p>
    <w:p>
      <w:pPr>
        <w:pStyle w:val="Heading1"/>
      </w:pPr>
      <w:r>
        <w:t>4. Carrier SLA Adjudication &amp; Operational Directives</w:t>
      </w:r>
    </w:p>
    <w:p>
      <w:r>
        <w:t>Standard operating procedures when Extreme Weather / Hazard disruptions impact Order-to-Cash deliveries:</w:t>
      </w:r>
    </w:p>
    <w:p>
      <w:r>
        <w:t>• Assess transit delay duration against contractual delivery grace period (24 hours).</w:t>
      </w:r>
    </w:p>
    <w:p>
      <w:r>
        <w:t>• Verify whether disruption is recognized by local transport authority as Force Majeure.</w:t>
      </w:r>
    </w:p>
    <w:p>
      <w:r>
        <w:t>• Proactively notify destination clinics of revised ETA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