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MARITIME / OCEAN PORT TRANSPORTATION RISK &amp; ROUTING PLAYBOOK</w:t>
      </w:r>
    </w:p>
    <w:p>
      <w:r>
        <w:t>Report Generated: 2026-09-08 14:22:28</w:t>
      </w:r>
    </w:p>
    <w:p>
      <w:r>
        <w:t>Transit Modality: Maritime / Ocean Port</w:t>
      </w:r>
    </w:p>
    <w:p>
      <w:r>
        <w:t>Total Disruption Incidents Monitored: 67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Maritime / Ocean Port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JNPA says port operations normal amid trailer, driver shortage - Indian Transport &amp; Logistics</w:t>
        <w:br/>
      </w:r>
      <w:r>
        <w:t>• Location / Hub: India (India) | Severity: LOW</w:t>
        <w:br/>
      </w:r>
      <w:r>
        <w:t>• Published: None | Source: Unknown</w:t>
        <w:br/>
      </w:r>
    </w:p>
    <w:p>
      <w:r>
        <w:rPr>
          <w:b/>
        </w:rPr>
        <w:t>Incident #2: Trade all at sea: Freight rattled by delays, ship shortages and port congestion as West Asia conflict flares up again - The Economic Times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#3: Maritime cyber incidents jump 103%, as CYTUR warns smart ships under fire; urges secure by design overhaul - industrialcyber.co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#4: WEF urges intelligence sharing as port cyber threats outpace siloed defences - industrialcyber.co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#5: €16.7 million for a modernised rail link to Setúbal port - railfreight.com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#6: News Now US intermodal rail yards clog up as port congestion and delays continue - theloadstar.com</w:t>
        <w:br/>
      </w:r>
      <w:r>
        <w:t>• Location / Hub: United States (United States) | Severity: MEDIUM</w:t>
        <w:br/>
      </w:r>
      <w:r>
        <w:t>• Published: None | Source: Unknown</w:t>
        <w:br/>
      </w:r>
    </w:p>
    <w:p>
      <w:r>
        <w:rPr>
          <w:b/>
        </w:rPr>
        <w:t>Incident #7: Port of Los Angeles freight rail delays reach two-year high, with holiday and everyday items piling up - CNBC</w:t>
        <w:br/>
      </w:r>
      <w:r>
        <w:t>• Location / Hub: Port of Los Angeles (United States) | Severity: MEDIUM</w:t>
        <w:br/>
      </w:r>
      <w:r>
        <w:t>• Published: None | Source: Unknown</w:t>
        <w:br/>
      </w:r>
    </w:p>
    <w:p>
      <w:r>
        <w:rPr>
          <w:b/>
        </w:rPr>
        <w:t>Incident #8: USCG highlights systemic port vulnerabilities following Dali bridge strike - Seatrade Maritime News</w:t>
        <w:br/>
      </w:r>
      <w:r>
        <w:t>• Location / Hub: Global (Global) | Severity: MEDIUM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[RULE-MARITI-01] FORCE MAJEURE &amp; TRANSIT EXTENSION (SECTION 8.2):</w:t>
        <w:br/>
        <w:t xml:space="preserve">  Documented Maritime / Ocean Port disruptions exceeding 24 hours grant automatic delivery window adjustment (+24h to +72h) and exempt carriers from liquidated damages upon telematics proof.</w:t>
      </w:r>
    </w:p>
    <w:p>
      <w:r>
        <w:t>[RULE-MARITI-02] INTERMODAL MODE-SHIFT CONVERSION (CLAUSE 3.4):</w:t>
        <w:br/>
        <w:t xml:space="preserve">  For time-sensitive pharmaceutical and veterinary orders stranded &gt;36 hours in Maritime / Ocean Port corridors, the Copilot authorizes immediate emergency intermodal diversion or express transport.</w:t>
      </w:r>
    </w:p>
    <w:p>
      <w:r>
        <w:t>[RULE-MARITI-03] DETENTION, DEMURRAGE &amp; YARD STORAGE LIABILITY CAP:</w:t>
        <w:br/>
        <w:t xml:space="preserve">  Carrier demurrage and container storage claims arising directly from Maritime / Ocean Port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Maritime / Ocean Port transport lanes.</w:t>
      </w:r>
    </w:p>
    <w:p>
      <w:r>
        <w:t>[x] Step 2: Inject [RULE-MARITI-01]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