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Mumbai Severe Weather Protocol</w:t>
      </w:r>
    </w:p>
    <w:p>
      <w:r>
        <w:t>Generated: 2026-08-28 16:13:36</w:t>
      </w:r>
    </w:p>
    <w:p>
      <w:r>
        <w:t>Total Alerts Analyzed: 1</w:t>
      </w:r>
    </w:p>
    <w:p/>
    <w:p>
      <w:pPr>
        <w:pStyle w:val="Heading1"/>
      </w:pPr>
      <w:r>
        <w:t>Executive Summary</w:t>
      </w:r>
    </w:p>
    <w:p>
      <w:r>
        <w:t>This document outlines severe weather protocols for Mumbai based on historical weather alert patterns. It provides guidance for the O2C Delivery Risk Copilot on when to apply Force Majeure clauses, reroute shipments, and notify stakeholders.</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Mumbai Weather Alerts</w:t>
      </w:r>
    </w:p>
    <w:p>
      <w:pPr>
        <w:pStyle w:val="Heading2"/>
      </w:pPr>
      <w:r>
        <w:t>High Wind Events</w:t>
      </w:r>
    </w:p>
    <w:p>
      <w:r>
        <w:t>💨 1 high wind events recorded. Peak: 18.4 m/s</w:t>
      </w:r>
    </w:p>
    <w:p>
      <w:r>
        <w:t>Action: Suspend tall vehicle (&gt;3m) routing. Force Majeure clause applicable per Carrier Master Agreement Section 4.2.</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