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jc w:val="center"/>
      </w:pPr>
      <w:r>
        <w:rPr>
          <w:rFonts w:ascii="Calibri" w:hAnsi="Calibri"/>
          <w:b/>
          <w:color w:val="1F3A5F"/>
          <w:sz w:val="46"/>
        </w:rPr>
        <w:t>LOCO Anomaly Inspector</w:t>
      </w:r>
    </w:p>
    <w:p>
      <w:pPr>
        <w:spacing w:after="40"/>
        <w:jc w:val="center"/>
      </w:pPr>
      <w:r>
        <w:rPr>
          <w:rFonts w:ascii="Calibri" w:hAnsi="Calibri"/>
          <w:i/>
          <w:color w:val="5A6470"/>
          <w:sz w:val="23"/>
        </w:rPr>
        <w:t>Logical and Structural Anomaly Detection on MVTec LOCO AD</w:t>
      </w:r>
    </w:p>
    <w:p>
      <w:pPr>
        <w:spacing w:after="40"/>
        <w:jc w:val="center"/>
      </w:pPr>
      <w:r>
        <w:rPr>
          <w:rFonts w:ascii="Calibri" w:hAnsi="Calibri"/>
          <w:b/>
          <w:color w:val="0F766E"/>
          <w:sz w:val="17"/>
        </w:rPr>
        <w:t>Data Analytics Lab | Final Project Report | June 2026</w:t>
      </w:r>
    </w:p>
    <w:p>
      <w:pPr>
        <w:spacing w:before="20" w:after="80"/>
        <w:pBdr>
          <w:bottom w:val="single" w:sz="10" w:space="1" w:color="245D91"/>
        </w:pBdr>
      </w:pPr>
    </w:p>
    <w:tbl>
      <w:tblPr>
        <w:tblW w:type="dxa" w:w="9360"/>
        <w:jc w:val="center"/>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shd w:fill="F2F4F7"/>
            <w:vAlign w:val="center"/>
          </w:tcPr>
          <w:p>
            <w:pPr>
              <w:spacing w:after="0"/>
            </w:pPr>
            <w:r>
              <w:rPr>
                <w:rFonts w:ascii="Calibri" w:hAnsi="Calibri"/>
                <w:b/>
                <w:color w:val="1F3A5F"/>
              </w:rPr>
              <w:t xml:space="preserve">Abstract. </w:t>
            </w:r>
            <w:r>
              <w:rPr>
                <w:rFonts w:ascii="Calibri" w:hAnsi="Calibri"/>
              </w:rPr>
              <w:t>This project detects industrial product defects using only normal training images. Frozen DINOv2-small features support three anomaly detectors, while a lightweight global proxy provides an additional baseline. The system compares seven scoring configurations and presents the results in Power BI and an offline HTML dashboard. Mean fusion achieved 0.761 overall AUROC, with stronger performance on structural anomalies than logical anomalies.</w:t>
            </w:r>
          </w:p>
        </w:tc>
      </w:tr>
    </w:tbl>
    <w:p>
      <w:pPr>
        <w:spacing w:after="40"/>
      </w:pPr>
    </w:p>
    <w:p>
      <w:pPr>
        <w:pStyle w:val="Heading1"/>
      </w:pPr>
      <w:r>
        <w:t>1. Introduction</w:t>
      </w:r>
    </w:p>
    <w:p>
      <w:pPr>
        <w:spacing w:after="60"/>
      </w:pPr>
      <w:r>
        <w:t>Industrial inspection systems must find uncommon defects before products reach customers. In practice, defective examples are limited and expensive to label. Anomaly detection addresses this problem by learning the appearance of normal products and assigning a higher score to unusual test images.</w:t>
      </w:r>
    </w:p>
    <w:p>
      <w:pPr>
        <w:pStyle w:val="ListBullet"/>
        <w:spacing w:after="30"/>
      </w:pPr>
      <w:r>
        <w:rPr>
          <w:rFonts w:ascii="Calibri" w:hAnsi="Calibri"/>
          <w:b/>
          <w:sz w:val="18"/>
        </w:rPr>
        <w:t xml:space="preserve">Structural anomalies: </w:t>
      </w:r>
      <w:r>
        <w:rPr>
          <w:rFonts w:ascii="Calibri" w:hAnsi="Calibri"/>
          <w:sz w:val="18"/>
        </w:rPr>
        <w:t>local visual defects such as damage, contamination, or deformation.</w:t>
      </w:r>
    </w:p>
    <w:p>
      <w:pPr>
        <w:pStyle w:val="ListBullet"/>
        <w:spacing w:after="30"/>
      </w:pPr>
      <w:r>
        <w:rPr>
          <w:rFonts w:ascii="Calibri" w:hAnsi="Calibri"/>
          <w:b/>
          <w:sz w:val="18"/>
        </w:rPr>
        <w:t xml:space="preserve">Logical anomalies: </w:t>
      </w:r>
      <w:r>
        <w:rPr>
          <w:rFonts w:ascii="Calibri" w:hAnsi="Calibri"/>
          <w:sz w:val="18"/>
        </w:rPr>
        <w:t>missing, extra, misplaced, or incorrectly counted parts that may still look normal.</w:t>
      </w:r>
    </w:p>
    <w:p>
      <w:pPr>
        <w:spacing w:after="60"/>
      </w:pPr>
      <w:r>
        <w:t>The study uses all five MVTec LOCO AD categories: breakfast box, juice bottle, pushpins, screw bag, and splicing connectors. The audited data contains 3,651 images across normal training, normal validation, and held-out test splits.</w:t>
      </w:r>
    </w:p>
    <w:p>
      <w:pPr>
        <w:pStyle w:val="Heading1"/>
      </w:pPr>
      <w:r>
        <w:t>2. Objective of the Product</w:t>
      </w:r>
    </w:p>
    <w:p>
      <w:pPr>
        <w:spacing w:after="40"/>
      </w:pPr>
      <w:r>
        <w:t>The objective is to build a clear anomaly-detection product that can:</w:t>
      </w:r>
    </w:p>
    <w:p>
      <w:pPr>
        <w:pStyle w:val="ListBullet"/>
        <w:spacing w:after="30"/>
      </w:pPr>
      <w:r>
        <w:rPr>
          <w:rFonts w:ascii="Calibri" w:hAnsi="Calibri"/>
          <w:b/>
          <w:sz w:val="18"/>
        </w:rPr>
        <w:t xml:space="preserve">Detect: </w:t>
      </w:r>
      <w:r>
        <w:rPr>
          <w:rFonts w:ascii="Calibri" w:hAnsi="Calibri"/>
          <w:sz w:val="18"/>
        </w:rPr>
        <w:t>rank normal and abnormal images without training on defects.</w:t>
      </w:r>
    </w:p>
    <w:p>
      <w:pPr>
        <w:pStyle w:val="ListBullet"/>
        <w:spacing w:after="30"/>
      </w:pPr>
      <w:r>
        <w:rPr>
          <w:rFonts w:ascii="Calibri" w:hAnsi="Calibri"/>
          <w:b/>
          <w:sz w:val="18"/>
        </w:rPr>
        <w:t xml:space="preserve">Compare: </w:t>
      </w:r>
      <w:r>
        <w:rPr>
          <w:rFonts w:ascii="Calibri" w:hAnsi="Calibri"/>
          <w:sz w:val="18"/>
        </w:rPr>
        <w:t>report logical, structural, overall AUROC, and F1.</w:t>
      </w:r>
    </w:p>
    <w:p>
      <w:pPr>
        <w:pStyle w:val="ListBullet"/>
        <w:spacing w:after="30"/>
      </w:pPr>
      <w:r>
        <w:rPr>
          <w:rFonts w:ascii="Calibri" w:hAnsi="Calibri"/>
          <w:b/>
          <w:sz w:val="18"/>
        </w:rPr>
        <w:t xml:space="preserve">Explain: </w:t>
      </w:r>
      <w:r>
        <w:rPr>
          <w:rFonts w:ascii="Calibri" w:hAnsi="Calibri"/>
          <w:sz w:val="18"/>
        </w:rPr>
        <w:t>show scores, thresholds, ground truth, and model heatmaps separately.</w:t>
      </w:r>
    </w:p>
    <w:p>
      <w:pPr>
        <w:pStyle w:val="ListBullet"/>
        <w:spacing w:after="30"/>
      </w:pPr>
      <w:r>
        <w:rPr>
          <w:rFonts w:ascii="Calibri" w:hAnsi="Calibri"/>
          <w:b/>
          <w:sz w:val="18"/>
        </w:rPr>
        <w:t xml:space="preserve">Support review: </w:t>
      </w:r>
      <w:r>
        <w:rPr>
          <w:rFonts w:ascii="Calibri" w:hAnsi="Calibri"/>
          <w:sz w:val="18"/>
        </w:rPr>
        <w:t>place the useful EDA and model evidence in one dashboard.</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trPr>
        <w:tc>
          <w:tcPr>
            <w:tcW w:type="dxa" w:w="2340"/>
            <w:tcMar>
              <w:top w:w="80" w:type="dxa"/>
              <w:start w:w="120" w:type="dxa"/>
              <w:bottom w:w="80" w:type="dxa"/>
              <w:end w:w="120" w:type="dxa"/>
            </w:tcMar>
            <w:shd w:fill="E8EEF5"/>
            <w:vAlign w:val="center"/>
          </w:tcPr>
          <w:p>
            <w:pPr>
              <w:spacing w:after="0"/>
              <w:jc w:val="center"/>
            </w:pPr>
            <w:r>
              <w:rPr>
                <w:rFonts w:ascii="Calibri" w:hAnsi="Calibri"/>
                <w:b/>
                <w:color w:val="1F3A5F"/>
                <w:sz w:val="30"/>
              </w:rPr>
              <w:t>0.761</w:t>
              <w:br/>
            </w:r>
            <w:r>
              <w:rPr>
                <w:rFonts w:ascii="Calibri" w:hAnsi="Calibri"/>
                <w:color w:val="5A6470"/>
                <w:sz w:val="15"/>
              </w:rPr>
              <w:t>Overall AUROC</w:t>
            </w:r>
          </w:p>
        </w:tc>
        <w:tc>
          <w:tcPr>
            <w:tcW w:type="dxa" w:w="2340"/>
            <w:tcMar>
              <w:top w:w="80" w:type="dxa"/>
              <w:start w:w="120" w:type="dxa"/>
              <w:bottom w:w="80" w:type="dxa"/>
              <w:end w:w="120" w:type="dxa"/>
            </w:tcMar>
            <w:shd w:fill="E8EEF5"/>
            <w:vAlign w:val="center"/>
          </w:tcPr>
          <w:p>
            <w:pPr>
              <w:spacing w:after="0"/>
              <w:jc w:val="center"/>
            </w:pPr>
            <w:r>
              <w:rPr>
                <w:rFonts w:ascii="Calibri" w:hAnsi="Calibri"/>
                <w:b/>
                <w:color w:val="1F3A5F"/>
                <w:sz w:val="30"/>
              </w:rPr>
              <w:t>0.731</w:t>
              <w:br/>
            </w:r>
            <w:r>
              <w:rPr>
                <w:rFonts w:ascii="Calibri" w:hAnsi="Calibri"/>
                <w:color w:val="5A6470"/>
                <w:sz w:val="15"/>
              </w:rPr>
              <w:t>Logical AUROC</w:t>
            </w:r>
          </w:p>
        </w:tc>
        <w:tc>
          <w:tcPr>
            <w:tcW w:type="dxa" w:w="2340"/>
            <w:tcMar>
              <w:top w:w="80" w:type="dxa"/>
              <w:start w:w="120" w:type="dxa"/>
              <w:bottom w:w="80" w:type="dxa"/>
              <w:end w:w="120" w:type="dxa"/>
            </w:tcMar>
            <w:shd w:fill="E8EEF5"/>
            <w:vAlign w:val="center"/>
          </w:tcPr>
          <w:p>
            <w:pPr>
              <w:spacing w:after="0"/>
              <w:jc w:val="center"/>
            </w:pPr>
            <w:r>
              <w:rPr>
                <w:rFonts w:ascii="Calibri" w:hAnsi="Calibri"/>
                <w:b/>
                <w:color w:val="1F3A5F"/>
                <w:sz w:val="30"/>
              </w:rPr>
              <w:t>0.804</w:t>
              <w:br/>
            </w:r>
            <w:r>
              <w:rPr>
                <w:rFonts w:ascii="Calibri" w:hAnsi="Calibri"/>
                <w:color w:val="5A6470"/>
                <w:sz w:val="15"/>
              </w:rPr>
              <w:t>Structural AUROC</w:t>
            </w:r>
          </w:p>
        </w:tc>
        <w:tc>
          <w:tcPr>
            <w:tcW w:type="dxa" w:w="2340"/>
            <w:tcMar>
              <w:top w:w="80" w:type="dxa"/>
              <w:start w:w="120" w:type="dxa"/>
              <w:bottom w:w="80" w:type="dxa"/>
              <w:end w:w="120" w:type="dxa"/>
            </w:tcMar>
            <w:shd w:fill="E8EEF5"/>
            <w:vAlign w:val="center"/>
          </w:tcPr>
          <w:p>
            <w:pPr>
              <w:spacing w:after="0"/>
              <w:jc w:val="center"/>
            </w:pPr>
            <w:r>
              <w:rPr>
                <w:rFonts w:ascii="Calibri" w:hAnsi="Calibri"/>
                <w:b/>
                <w:color w:val="1F3A5F"/>
                <w:sz w:val="30"/>
              </w:rPr>
              <w:t>5</w:t>
              <w:br/>
            </w:r>
            <w:r>
              <w:rPr>
                <w:rFonts w:ascii="Calibri" w:hAnsi="Calibri"/>
                <w:color w:val="5A6470"/>
                <w:sz w:val="15"/>
              </w:rPr>
              <w:t>Product categories</w:t>
            </w:r>
          </w:p>
        </w:tc>
      </w:tr>
    </w:tbl>
    <w:p>
      <w:pPr>
        <w:spacing w:after="0"/>
      </w:pPr>
    </w:p>
    <w:p>
      <w:r>
        <w:br w:type="page"/>
      </w:r>
    </w:p>
    <w:p>
      <w:pPr>
        <w:pStyle w:val="Heading1"/>
      </w:pPr>
      <w:r>
        <w:t>3. Product Features</w:t>
      </w:r>
    </w:p>
    <w:p>
      <w:pPr>
        <w:spacing w:after="40"/>
      </w:pPr>
      <w:r>
        <w:t>The product is available as a Power BI dashboard and as a self-contained HTML dashboard. Both versions focus on evidence needed to understand the model.</w:t>
      </w:r>
    </w:p>
    <w:p>
      <w:pPr>
        <w:pStyle w:val="ListBullet"/>
        <w:spacing w:after="30"/>
      </w:pPr>
      <w:r>
        <w:rPr>
          <w:rFonts w:ascii="Calibri" w:hAnsi="Calibri"/>
          <w:b/>
          <w:sz w:val="18"/>
        </w:rPr>
        <w:t xml:space="preserve">Overview and leaderboard: </w:t>
      </w:r>
      <w:r>
        <w:rPr>
          <w:rFonts w:ascii="Calibri" w:hAnsi="Calibri"/>
          <w:sz w:val="18"/>
        </w:rPr>
        <w:t>show the best method and all seven scoring configurations.</w:t>
      </w:r>
    </w:p>
    <w:p>
      <w:pPr>
        <w:pStyle w:val="ListBullet"/>
        <w:spacing w:after="30"/>
      </w:pPr>
      <w:r>
        <w:rPr>
          <w:rFonts w:ascii="Calibri" w:hAnsi="Calibri"/>
          <w:b/>
          <w:sz w:val="18"/>
        </w:rPr>
        <w:t xml:space="preserve">Relevant EDA: </w:t>
      </w:r>
      <w:r>
        <w:rPr>
          <w:rFonts w:ascii="Calibri" w:hAnsi="Calibri"/>
          <w:sz w:val="18"/>
        </w:rPr>
        <w:t>show split counts, sample images, mask overlays, and category-level patterns.</w:t>
      </w:r>
    </w:p>
    <w:p>
      <w:pPr>
        <w:pStyle w:val="ListBullet"/>
        <w:spacing w:after="30"/>
      </w:pPr>
      <w:r>
        <w:rPr>
          <w:rFonts w:ascii="Calibri" w:hAnsi="Calibri"/>
          <w:b/>
          <w:sz w:val="18"/>
        </w:rPr>
        <w:t xml:space="preserve">Explainability and drill-down: </w:t>
      </w:r>
      <w:r>
        <w:rPr>
          <w:rFonts w:ascii="Calibri" w:hAnsi="Calibri"/>
          <w:sz w:val="18"/>
        </w:rPr>
        <w:t>show per-image decisions, category results, thresholds, and heatmaps.</w:t>
      </w:r>
    </w:p>
    <w:p>
      <w:pPr>
        <w:keepNext/>
        <w:spacing w:after="0"/>
        <w:jc w:val="center"/>
      </w:pPr>
      <w:r>
        <w:drawing>
          <wp:inline xmlns:a="http://schemas.openxmlformats.org/drawingml/2006/main" xmlns:pic="http://schemas.openxmlformats.org/drawingml/2006/picture">
            <wp:extent cx="5230368" cy="4508183"/>
            <wp:docPr id="1" name="Picture 1" descr="Dark dashboard overview with AUROC metric cards, category split counts, and a short explanation of the anomaly-detection workflow." title="Figure 1"/>
            <wp:cNvGraphicFramePr>
              <a:graphicFrameLocks noChangeAspect="1"/>
            </wp:cNvGraphicFramePr>
            <a:graphic>
              <a:graphicData uri="http://schemas.openxmlformats.org/drawingml/2006/picture">
                <pic:pic>
                  <pic:nvPicPr>
                    <pic:cNvPr id="0" name="dashboard_overview.png"/>
                    <pic:cNvPicPr/>
                  </pic:nvPicPr>
                  <pic:blipFill>
                    <a:blip r:embed="rId11"/>
                    <a:stretch>
                      <a:fillRect/>
                    </a:stretch>
                  </pic:blipFill>
                  <pic:spPr>
                    <a:xfrm>
                      <a:off x="0" y="0"/>
                      <a:ext cx="5230368" cy="4508183"/>
                    </a:xfrm>
                    <a:prstGeom prst="rect"/>
                  </pic:spPr>
                </pic:pic>
              </a:graphicData>
            </a:graphic>
          </wp:inline>
        </w:drawing>
      </w:r>
    </w:p>
    <w:p>
      <w:pPr>
        <w:spacing w:before="40" w:after="100"/>
        <w:jc w:val="center"/>
      </w:pPr>
      <w:r>
        <w:rPr>
          <w:rFonts w:ascii="Calibri" w:hAnsi="Calibri"/>
          <w:i/>
          <w:color w:val="5A6470"/>
          <w:sz w:val="16"/>
        </w:rPr>
        <w:t>Figure 1. Dashboard overview showing the headline metrics, dataset split, and method transparency statement.</w:t>
      </w:r>
    </w:p>
    <w:p>
      <w:pPr>
        <w:pStyle w:val="Heading1"/>
      </w:pPr>
      <w:r>
        <w:t>4. User Guidelines</w:t>
      </w:r>
    </w:p>
    <w:p>
      <w:pPr>
        <w:pStyle w:val="ListNumber"/>
        <w:spacing w:after="30"/>
      </w:pPr>
      <w:r>
        <w:rPr>
          <w:rFonts w:ascii="Calibri" w:hAnsi="Calibri"/>
          <w:b/>
          <w:sz w:val="18"/>
        </w:rPr>
        <w:t xml:space="preserve">Open the dashboard. </w:t>
      </w:r>
      <w:r>
        <w:rPr>
          <w:rFonts w:ascii="Calibri" w:hAnsi="Calibri"/>
          <w:sz w:val="18"/>
        </w:rPr>
        <w:t>Use the Power BI file or open 09_dashboard/dashboard.html.</w:t>
      </w:r>
    </w:p>
    <w:p>
      <w:pPr>
        <w:pStyle w:val="ListNumber"/>
        <w:spacing w:after="30"/>
      </w:pPr>
      <w:r>
        <w:rPr>
          <w:rFonts w:ascii="Calibri" w:hAnsi="Calibri"/>
          <w:b/>
          <w:sz w:val="18"/>
        </w:rPr>
        <w:t xml:space="preserve">Read the overview. </w:t>
      </w:r>
      <w:r>
        <w:rPr>
          <w:rFonts w:ascii="Calibri" w:hAnsi="Calibri"/>
          <w:sz w:val="18"/>
        </w:rPr>
        <w:t>Check overall, logical, and structural AUROC.</w:t>
      </w:r>
    </w:p>
    <w:p>
      <w:pPr>
        <w:pStyle w:val="ListNumber"/>
        <w:spacing w:after="30"/>
      </w:pPr>
      <w:r>
        <w:rPr>
          <w:rFonts w:ascii="Calibri" w:hAnsi="Calibri"/>
          <w:b/>
          <w:sz w:val="18"/>
        </w:rPr>
        <w:t xml:space="preserve">Use a detailed tab. </w:t>
      </w:r>
      <w:r>
        <w:rPr>
          <w:rFonts w:ascii="Calibri" w:hAnsi="Calibri"/>
          <w:sz w:val="18"/>
        </w:rPr>
        <w:t>Select the leaderboard, explainability, or per-category view.</w:t>
      </w:r>
    </w:p>
    <w:p>
      <w:pPr>
        <w:pStyle w:val="ListNumber"/>
        <w:spacing w:after="30"/>
      </w:pPr>
      <w:r>
        <w:rPr>
          <w:rFonts w:ascii="Calibri" w:hAnsi="Calibri"/>
          <w:b/>
          <w:sz w:val="18"/>
        </w:rPr>
        <w:t xml:space="preserve">Interpret a decision. </w:t>
      </w:r>
      <w:r>
        <w:rPr>
          <w:rFonts w:ascii="Calibri" w:hAnsi="Calibri"/>
          <w:sz w:val="18"/>
        </w:rPr>
        <w:t>A score at or above the saved validation threshold is flagged as anomalous.</w:t>
      </w:r>
    </w:p>
    <w:p>
      <w:r>
        <w:br w:type="page"/>
      </w:r>
    </w:p>
    <w:p>
      <w:pPr>
        <w:pStyle w:val="Heading1"/>
      </w:pPr>
      <w:r>
        <w:t>5. Implementation and Methodology</w:t>
      </w:r>
    </w:p>
    <w:p>
      <w:pPr>
        <w:keepNext/>
        <w:spacing w:after="0"/>
        <w:jc w:val="center"/>
      </w:pPr>
      <w:r>
        <w:drawing>
          <wp:inline xmlns:a="http://schemas.openxmlformats.org/drawingml/2006/main" xmlns:pic="http://schemas.openxmlformats.org/drawingml/2006/picture">
            <wp:extent cx="5989320" cy="1197864"/>
            <wp:docPr id="2" name="Picture 2" descr="Five-step workflow: audit and resize, extract frozen DINOv2-small features, score anomalies, calibrate and fuse, and evaluate in the dashboard." title="Figure 2"/>
            <wp:cNvGraphicFramePr>
              <a:graphicFrameLocks noChangeAspect="1"/>
            </wp:cNvGraphicFramePr>
            <a:graphic>
              <a:graphicData uri="http://schemas.openxmlformats.org/drawingml/2006/picture">
                <pic:pic>
                  <pic:nvPicPr>
                    <pic:cNvPr id="0" name="academic_pipeline.png"/>
                    <pic:cNvPicPr/>
                  </pic:nvPicPr>
                  <pic:blipFill>
                    <a:blip r:embed="rId12"/>
                    <a:stretch>
                      <a:fillRect/>
                    </a:stretch>
                  </pic:blipFill>
                  <pic:spPr>
                    <a:xfrm>
                      <a:off x="0" y="0"/>
                      <a:ext cx="5989320" cy="1197864"/>
                    </a:xfrm>
                    <a:prstGeom prst="rect"/>
                  </pic:spPr>
                </pic:pic>
              </a:graphicData>
            </a:graphic>
          </wp:inline>
        </w:drawing>
      </w:r>
    </w:p>
    <w:p>
      <w:pPr>
        <w:spacing w:before="40" w:after="100"/>
        <w:jc w:val="center"/>
      </w:pPr>
      <w:r>
        <w:rPr>
          <w:rFonts w:ascii="Calibri" w:hAnsi="Calibri"/>
          <w:i/>
          <w:color w:val="5A6470"/>
          <w:sz w:val="16"/>
        </w:rPr>
        <w:t>Figure 2. End-to-end workflow from data preparation to dashboard reporting.</w:t>
      </w:r>
    </w:p>
    <w:p>
      <w:pPr>
        <w:pStyle w:val="Heading2"/>
      </w:pPr>
      <w:r>
        <w:t>5.1 Data Preparation</w:t>
      </w:r>
    </w:p>
    <w:p>
      <w:pPr>
        <w:spacing w:after="60"/>
      </w:pPr>
      <w:r>
        <w:t>Images are placed on a 384 x 384 canvas using aspect-ratio-preserving letterboxing. Product images use bilinear interpolation. Ground-truth masks use nearest-neighbour interpolation and remain binary. Only normal images are used to fit the anomaly detectors.</w:t>
      </w:r>
    </w:p>
    <w:p>
      <w:pPr>
        <w:pStyle w:val="Heading2"/>
      </w:pPr>
      <w:r>
        <w:t>5.2 Model Methods</w:t>
      </w:r>
    </w:p>
    <w:tbl>
      <w:tblPr>
        <w:tblStyle w:val="TableGrid"/>
        <w:tblW w:type="dxa" w:w="9360"/>
        <w:jc w:val="center"/>
        <w:tblLayout w:type="fixed"/>
        <w:tblLook w:firstColumn="1" w:firstRow="1" w:lastColumn="0" w:lastRow="0" w:noHBand="0" w:noVBand="1" w:val="04A0"/>
        <w:tblInd w:w="120" w:type="dxa"/>
      </w:tblPr>
      <w:tblGrid>
        <w:gridCol w:w="2440"/>
        <w:gridCol w:w="4520"/>
        <w:gridCol w:w="2400"/>
      </w:tblGrid>
      <w:tr>
        <w:trPr>
          <w:tblHeader/>
        </w:trPr>
        <w:tc>
          <w:tcPr>
            <w:tcW w:type="dxa" w:w="2440"/>
            <w:tcMar>
              <w:top w:w="80" w:type="dxa"/>
              <w:start w:w="120" w:type="dxa"/>
              <w:bottom w:w="80" w:type="dxa"/>
              <w:end w:w="120" w:type="dxa"/>
            </w:tcMar>
            <w:shd w:fill="F2F4F7"/>
          </w:tcPr>
          <w:p>
            <w:pPr>
              <w:spacing w:after="0"/>
              <w:jc w:val="center"/>
            </w:pPr>
            <w:r>
              <w:rPr>
                <w:rFonts w:ascii="Calibri" w:hAnsi="Calibri"/>
                <w:b/>
                <w:color w:val="1F3A5F"/>
                <w:sz w:val="16"/>
              </w:rPr>
              <w:t>Detector branch</w:t>
            </w:r>
          </w:p>
        </w:tc>
        <w:tc>
          <w:tcPr>
            <w:tcW w:type="dxa" w:w="4520"/>
            <w:tcMar>
              <w:top w:w="80" w:type="dxa"/>
              <w:start w:w="120" w:type="dxa"/>
              <w:bottom w:w="80" w:type="dxa"/>
              <w:end w:w="120" w:type="dxa"/>
            </w:tcMar>
            <w:shd w:fill="F2F4F7"/>
          </w:tcPr>
          <w:p>
            <w:pPr>
              <w:spacing w:after="0"/>
              <w:jc w:val="center"/>
            </w:pPr>
            <w:r>
              <w:rPr>
                <w:rFonts w:ascii="Calibri" w:hAnsi="Calibri"/>
                <w:b/>
                <w:color w:val="1F3A5F"/>
                <w:sz w:val="16"/>
              </w:rPr>
              <w:t>Purpose</w:t>
            </w:r>
          </w:p>
        </w:tc>
        <w:tc>
          <w:tcPr>
            <w:tcW w:type="dxa" w:w="2400"/>
            <w:tcMar>
              <w:top w:w="80" w:type="dxa"/>
              <w:start w:w="120" w:type="dxa"/>
              <w:bottom w:w="80" w:type="dxa"/>
              <w:end w:w="120" w:type="dxa"/>
            </w:tcMar>
            <w:shd w:fill="F2F4F7"/>
          </w:tcPr>
          <w:p>
            <w:pPr>
              <w:spacing w:after="0"/>
              <w:jc w:val="center"/>
            </w:pPr>
            <w:r>
              <w:rPr>
                <w:rFonts w:ascii="Calibri" w:hAnsi="Calibri"/>
                <w:b/>
                <w:color w:val="1F3A5F"/>
                <w:sz w:val="16"/>
              </w:rPr>
              <w:t>Feature source</w:t>
            </w:r>
          </w:p>
        </w:tc>
      </w:tr>
      <w:tr>
        <w:tc>
          <w:tcPr>
            <w:tcW w:type="dxa" w:w="2440"/>
            <w:vAlign w:val="center"/>
          </w:tcPr>
          <w:p>
            <w:pPr>
              <w:spacing w:after="0"/>
            </w:pPr>
            <w:r>
              <w:rPr>
                <w:rFonts w:ascii="Calibri" w:hAnsi="Calibri"/>
                <w:sz w:val="15"/>
              </w:rPr>
              <w:t>Patch Memory</w:t>
            </w:r>
          </w:p>
        </w:tc>
        <w:tc>
          <w:tcPr>
            <w:tcW w:type="dxa" w:w="4520"/>
            <w:vAlign w:val="center"/>
          </w:tcPr>
          <w:p>
            <w:pPr>
              <w:spacing w:after="0"/>
            </w:pPr>
            <w:r>
              <w:rPr>
                <w:rFonts w:ascii="Calibri" w:hAnsi="Calibri"/>
                <w:sz w:val="15"/>
              </w:rPr>
              <w:t>Find local patches unlike the normal memory bank.</w:t>
            </w:r>
          </w:p>
        </w:tc>
        <w:tc>
          <w:tcPr>
            <w:tcW w:type="dxa" w:w="2400"/>
            <w:vAlign w:val="center"/>
          </w:tcPr>
          <w:p>
            <w:pPr>
              <w:spacing w:after="0"/>
            </w:pPr>
            <w:r>
              <w:rPr>
                <w:rFonts w:ascii="Calibri" w:hAnsi="Calibri"/>
                <w:sz w:val="15"/>
              </w:rPr>
              <w:t>DINOv2-small</w:t>
            </w:r>
          </w:p>
        </w:tc>
      </w:tr>
      <w:tr>
        <w:tc>
          <w:tcPr>
            <w:tcW w:type="dxa" w:w="2440"/>
            <w:vAlign w:val="center"/>
          </w:tcPr>
          <w:p>
            <w:pPr>
              <w:spacing w:after="0"/>
            </w:pPr>
            <w:r>
              <w:rPr>
                <w:rFonts w:ascii="Calibri" w:hAnsi="Calibri"/>
                <w:sz w:val="15"/>
              </w:rPr>
              <w:t>Region-Aware Memory</w:t>
            </w:r>
          </w:p>
        </w:tc>
        <w:tc>
          <w:tcPr>
            <w:tcW w:type="dxa" w:w="4520"/>
            <w:vAlign w:val="center"/>
          </w:tcPr>
          <w:p>
            <w:pPr>
              <w:spacing w:after="0"/>
            </w:pPr>
            <w:r>
              <w:rPr>
                <w:rFonts w:ascii="Calibri" w:hAnsi="Calibri"/>
                <w:sz w:val="15"/>
              </w:rPr>
              <w:t>Compare appearance while keeping rough image position.</w:t>
            </w:r>
          </w:p>
        </w:tc>
        <w:tc>
          <w:tcPr>
            <w:tcW w:type="dxa" w:w="2400"/>
            <w:vAlign w:val="center"/>
          </w:tcPr>
          <w:p>
            <w:pPr>
              <w:spacing w:after="0"/>
            </w:pPr>
            <w:r>
              <w:rPr>
                <w:rFonts w:ascii="Calibri" w:hAnsi="Calibri"/>
                <w:sz w:val="15"/>
              </w:rPr>
              <w:t>DINOv2-small</w:t>
            </w:r>
          </w:p>
        </w:tc>
      </w:tr>
      <w:tr>
        <w:tc>
          <w:tcPr>
            <w:tcW w:type="dxa" w:w="2440"/>
            <w:vAlign w:val="center"/>
          </w:tcPr>
          <w:p>
            <w:pPr>
              <w:spacing w:after="0"/>
            </w:pPr>
            <w:r>
              <w:rPr>
                <w:rFonts w:ascii="Calibri" w:hAnsi="Calibri"/>
                <w:sz w:val="15"/>
              </w:rPr>
              <w:t>Composition Histogram</w:t>
            </w:r>
          </w:p>
        </w:tc>
        <w:tc>
          <w:tcPr>
            <w:tcW w:type="dxa" w:w="4520"/>
            <w:vAlign w:val="center"/>
          </w:tcPr>
          <w:p>
            <w:pPr>
              <w:spacing w:after="0"/>
            </w:pPr>
            <w:r>
              <w:rPr>
                <w:rFonts w:ascii="Calibri" w:hAnsi="Calibri"/>
                <w:sz w:val="15"/>
              </w:rPr>
              <w:t>Measure changes in the global mix of visual words.</w:t>
            </w:r>
          </w:p>
        </w:tc>
        <w:tc>
          <w:tcPr>
            <w:tcW w:type="dxa" w:w="2400"/>
            <w:vAlign w:val="center"/>
          </w:tcPr>
          <w:p>
            <w:pPr>
              <w:spacing w:after="0"/>
            </w:pPr>
            <w:r>
              <w:rPr>
                <w:rFonts w:ascii="Calibri" w:hAnsi="Calibri"/>
                <w:sz w:val="15"/>
              </w:rPr>
              <w:t>DINOv2-small</w:t>
            </w:r>
          </w:p>
        </w:tc>
      </w:tr>
      <w:tr>
        <w:tc>
          <w:tcPr>
            <w:tcW w:type="dxa" w:w="2440"/>
            <w:vAlign w:val="center"/>
          </w:tcPr>
          <w:p>
            <w:pPr>
              <w:spacing w:after="0"/>
            </w:pPr>
            <w:r>
              <w:rPr>
                <w:rFonts w:ascii="Calibri" w:hAnsi="Calibri"/>
                <w:sz w:val="15"/>
              </w:rPr>
              <w:t>Global Image-Stat proxy</w:t>
            </w:r>
          </w:p>
        </w:tc>
        <w:tc>
          <w:tcPr>
            <w:tcW w:type="dxa" w:w="4520"/>
            <w:vAlign w:val="center"/>
          </w:tcPr>
          <w:p>
            <w:pPr>
              <w:spacing w:after="0"/>
            </w:pPr>
            <w:r>
              <w:rPr>
                <w:rFonts w:ascii="Calibri" w:hAnsi="Calibri"/>
                <w:sz w:val="15"/>
              </w:rPr>
              <w:t>Provide a fast whole-image difference score.</w:t>
            </w:r>
          </w:p>
        </w:tc>
        <w:tc>
          <w:tcPr>
            <w:tcW w:type="dxa" w:w="2400"/>
            <w:vAlign w:val="center"/>
          </w:tcPr>
          <w:p>
            <w:pPr>
              <w:spacing w:after="0"/>
            </w:pPr>
            <w:r>
              <w:rPr>
                <w:rFonts w:ascii="Calibri" w:hAnsi="Calibri"/>
                <w:sz w:val="15"/>
              </w:rPr>
              <w:t>Non-DINOv2 proxy</w:t>
            </w:r>
          </w:p>
        </w:tc>
      </w:tr>
    </w:tbl>
    <w:p>
      <w:pPr>
        <w:spacing w:before="40" w:after="100"/>
        <w:jc w:val="center"/>
      </w:pPr>
      <w:r>
        <w:rPr>
          <w:rFonts w:ascii="Calibri" w:hAnsi="Calibri"/>
          <w:i/>
          <w:color w:val="5A6470"/>
          <w:sz w:val="16"/>
        </w:rPr>
        <w:t>Table 1. Detector branches used in the reported comparison.</w:t>
      </w:r>
    </w:p>
    <w:p>
      <w:pPr>
        <w:spacing w:after="60"/>
      </w:pPr>
      <w:r>
        <w:t>The three DINOv2 branches use real frozen DINOv2-small patch features. The Global Image-Stat detector is a lightweight non-DINOv2 proxy. Mean, maximum, and rank-average fusion combine the branch scores. This report does not claim an official EfficientAD or PatchCore implementation.</w:t>
      </w:r>
    </w:p>
    <w:p>
      <w:pPr>
        <w:pStyle w:val="Heading2"/>
      </w:pPr>
      <w:r>
        <w:t>5.3 Evaluation Protocol</w:t>
      </w:r>
    </w:p>
    <w:p>
      <w:pPr>
        <w:pStyle w:val="ListBullet"/>
        <w:spacing w:after="30"/>
      </w:pPr>
      <w:r>
        <w:rPr>
          <w:rFonts w:ascii="Calibri" w:hAnsi="Calibri"/>
          <w:b/>
          <w:sz w:val="18"/>
        </w:rPr>
        <w:t xml:space="preserve">Training: </w:t>
      </w:r>
      <w:r>
        <w:rPr>
          <w:rFonts w:ascii="Calibri" w:hAnsi="Calibri"/>
          <w:sz w:val="18"/>
        </w:rPr>
        <w:t>fit normal memories using train/good images.</w:t>
      </w:r>
    </w:p>
    <w:p>
      <w:pPr>
        <w:pStyle w:val="ListBullet"/>
        <w:spacing w:after="30"/>
      </w:pPr>
      <w:r>
        <w:rPr>
          <w:rFonts w:ascii="Calibri" w:hAnsi="Calibri"/>
          <w:b/>
          <w:sz w:val="18"/>
        </w:rPr>
        <w:t xml:space="preserve">Calibration: </w:t>
      </w:r>
      <w:r>
        <w:rPr>
          <w:rFonts w:ascii="Calibri" w:hAnsi="Calibri"/>
          <w:sz w:val="18"/>
        </w:rPr>
        <w:t>use validation/good scores for normalization and the 90th-percentile threshold.</w:t>
      </w:r>
    </w:p>
    <w:p>
      <w:pPr>
        <w:pStyle w:val="ListBullet"/>
        <w:spacing w:after="30"/>
      </w:pPr>
      <w:r>
        <w:rPr>
          <w:rFonts w:ascii="Calibri" w:hAnsi="Calibri"/>
          <w:b/>
          <w:sz w:val="18"/>
        </w:rPr>
        <w:t xml:space="preserve">Testing: </w:t>
      </w:r>
      <w:r>
        <w:rPr>
          <w:rFonts w:ascii="Calibri" w:hAnsi="Calibri"/>
          <w:sz w:val="18"/>
        </w:rPr>
        <w:t>use the held-out test split only for the final reported evaluation.</w:t>
      </w:r>
    </w:p>
    <w:p>
      <w:pPr>
        <w:pStyle w:val="ListBullet"/>
        <w:spacing w:after="30"/>
      </w:pPr>
      <w:r>
        <w:rPr>
          <w:rFonts w:ascii="Calibri" w:hAnsi="Calibri"/>
          <w:b/>
          <w:sz w:val="18"/>
        </w:rPr>
        <w:t xml:space="preserve">Metrics: </w:t>
      </w:r>
      <w:r>
        <w:rPr>
          <w:rFonts w:ascii="Calibri" w:hAnsi="Calibri"/>
          <w:sz w:val="18"/>
        </w:rPr>
        <w:t>report image-level AUROC and F1; AUROC is the main comparison metric.</w:t>
      </w:r>
    </w:p>
    <w:p>
      <w:r>
        <w:br w:type="page"/>
      </w:r>
    </w:p>
    <w:p>
      <w:pPr>
        <w:pStyle w:val="Heading1"/>
      </w:pPr>
      <w:r>
        <w:t>6. Results and Feature Selection</w:t>
      </w:r>
    </w:p>
    <w:tbl>
      <w:tblPr>
        <w:tblStyle w:val="TableGrid"/>
        <w:tblW w:type="dxa" w:w="9360"/>
        <w:jc w:val="center"/>
        <w:tblLayout w:type="fixed"/>
        <w:tblLook w:firstColumn="1" w:firstRow="1" w:lastColumn="0" w:lastRow="0" w:noHBand="0" w:noVBand="1" w:val="04A0"/>
        <w:tblInd w:w="120" w:type="dxa"/>
      </w:tblPr>
      <w:tblGrid>
        <w:gridCol w:w="4140"/>
        <w:gridCol w:w="1305"/>
        <w:gridCol w:w="1305"/>
        <w:gridCol w:w="1305"/>
        <w:gridCol w:w="1305"/>
      </w:tblGrid>
      <w:tr>
        <w:trPr>
          <w:tblHeader/>
        </w:trPr>
        <w:tc>
          <w:tcPr>
            <w:tcW w:type="dxa" w:w="4140"/>
            <w:tcMar>
              <w:top w:w="80" w:type="dxa"/>
              <w:start w:w="120" w:type="dxa"/>
              <w:bottom w:w="80" w:type="dxa"/>
              <w:end w:w="120" w:type="dxa"/>
            </w:tcMar>
            <w:shd w:fill="F2F4F7"/>
          </w:tcPr>
          <w:p>
            <w:pPr>
              <w:spacing w:after="0"/>
              <w:jc w:val="center"/>
            </w:pPr>
            <w:r>
              <w:rPr>
                <w:rFonts w:ascii="Calibri" w:hAnsi="Calibri"/>
                <w:b/>
                <w:color w:val="1F3A5F"/>
                <w:sz w:val="15"/>
              </w:rPr>
              <w:t>Method</w:t>
            </w:r>
          </w:p>
        </w:tc>
        <w:tc>
          <w:tcPr>
            <w:tcW w:type="dxa" w:w="1305"/>
            <w:tcMar>
              <w:top w:w="80" w:type="dxa"/>
              <w:start w:w="120" w:type="dxa"/>
              <w:bottom w:w="80" w:type="dxa"/>
              <w:end w:w="120" w:type="dxa"/>
            </w:tcMar>
            <w:shd w:fill="F2F4F7"/>
          </w:tcPr>
          <w:p>
            <w:pPr>
              <w:spacing w:after="0"/>
              <w:jc w:val="center"/>
            </w:pPr>
            <w:r>
              <w:rPr>
                <w:rFonts w:ascii="Calibri" w:hAnsi="Calibri"/>
                <w:b/>
                <w:color w:val="1F3A5F"/>
                <w:sz w:val="15"/>
              </w:rPr>
              <w:t>Logical</w:t>
            </w:r>
          </w:p>
        </w:tc>
        <w:tc>
          <w:tcPr>
            <w:tcW w:type="dxa" w:w="1305"/>
            <w:tcMar>
              <w:top w:w="80" w:type="dxa"/>
              <w:start w:w="120" w:type="dxa"/>
              <w:bottom w:w="80" w:type="dxa"/>
              <w:end w:w="120" w:type="dxa"/>
            </w:tcMar>
            <w:shd w:fill="F2F4F7"/>
          </w:tcPr>
          <w:p>
            <w:pPr>
              <w:spacing w:after="0"/>
              <w:jc w:val="center"/>
            </w:pPr>
            <w:r>
              <w:rPr>
                <w:rFonts w:ascii="Calibri" w:hAnsi="Calibri"/>
                <w:b/>
                <w:color w:val="1F3A5F"/>
                <w:sz w:val="15"/>
              </w:rPr>
              <w:t>Structural</w:t>
            </w:r>
          </w:p>
        </w:tc>
        <w:tc>
          <w:tcPr>
            <w:tcW w:type="dxa" w:w="1305"/>
            <w:tcMar>
              <w:top w:w="80" w:type="dxa"/>
              <w:start w:w="120" w:type="dxa"/>
              <w:bottom w:w="80" w:type="dxa"/>
              <w:end w:w="120" w:type="dxa"/>
            </w:tcMar>
            <w:shd w:fill="F2F4F7"/>
          </w:tcPr>
          <w:p>
            <w:pPr>
              <w:spacing w:after="0"/>
              <w:jc w:val="center"/>
            </w:pPr>
            <w:r>
              <w:rPr>
                <w:rFonts w:ascii="Calibri" w:hAnsi="Calibri"/>
                <w:b/>
                <w:color w:val="1F3A5F"/>
                <w:sz w:val="15"/>
              </w:rPr>
              <w:t>Overall</w:t>
            </w:r>
          </w:p>
        </w:tc>
        <w:tc>
          <w:tcPr>
            <w:tcW w:type="dxa" w:w="1305"/>
            <w:tcMar>
              <w:top w:w="80" w:type="dxa"/>
              <w:start w:w="120" w:type="dxa"/>
              <w:bottom w:w="80" w:type="dxa"/>
              <w:end w:w="120" w:type="dxa"/>
            </w:tcMar>
            <w:shd w:fill="F2F4F7"/>
          </w:tcPr>
          <w:p>
            <w:pPr>
              <w:spacing w:after="0"/>
              <w:jc w:val="center"/>
            </w:pPr>
            <w:r>
              <w:rPr>
                <w:rFonts w:ascii="Calibri" w:hAnsi="Calibri"/>
                <w:b/>
                <w:color w:val="1F3A5F"/>
                <w:sz w:val="15"/>
              </w:rPr>
              <w:t>F1</w:t>
            </w:r>
          </w:p>
        </w:tc>
      </w:tr>
      <w:tr>
        <w:tc>
          <w:tcPr>
            <w:tcW w:type="dxa" w:w="4140"/>
            <w:vAlign w:val="center"/>
            <w:shd w:fill="E7F4EC"/>
          </w:tcPr>
          <w:p>
            <w:pPr>
              <w:spacing w:after="0"/>
              <w:jc w:val="left"/>
            </w:pPr>
            <w:r>
              <w:rPr>
                <w:rFonts w:ascii="Calibri" w:hAnsi="Calibri"/>
                <w:b/>
                <w:sz w:val="15"/>
              </w:rPr>
              <w:t>Fusion (mean)</w:t>
            </w:r>
          </w:p>
        </w:tc>
        <w:tc>
          <w:tcPr>
            <w:tcW w:type="dxa" w:w="1305"/>
            <w:vAlign w:val="center"/>
            <w:shd w:fill="E7F4EC"/>
          </w:tcPr>
          <w:p>
            <w:pPr>
              <w:spacing w:after="0"/>
              <w:jc w:val="center"/>
            </w:pPr>
            <w:r>
              <w:rPr>
                <w:rFonts w:ascii="Calibri" w:hAnsi="Calibri"/>
                <w:b/>
                <w:sz w:val="15"/>
              </w:rPr>
              <w:t>0.731</w:t>
            </w:r>
          </w:p>
        </w:tc>
        <w:tc>
          <w:tcPr>
            <w:tcW w:type="dxa" w:w="1305"/>
            <w:vAlign w:val="center"/>
            <w:shd w:fill="E7F4EC"/>
          </w:tcPr>
          <w:p>
            <w:pPr>
              <w:spacing w:after="0"/>
              <w:jc w:val="center"/>
            </w:pPr>
            <w:r>
              <w:rPr>
                <w:rFonts w:ascii="Calibri" w:hAnsi="Calibri"/>
                <w:b/>
                <w:sz w:val="15"/>
              </w:rPr>
              <w:t>0.804</w:t>
            </w:r>
          </w:p>
        </w:tc>
        <w:tc>
          <w:tcPr>
            <w:tcW w:type="dxa" w:w="1305"/>
            <w:vAlign w:val="center"/>
            <w:shd w:fill="E7F4EC"/>
          </w:tcPr>
          <w:p>
            <w:pPr>
              <w:spacing w:after="0"/>
              <w:jc w:val="center"/>
            </w:pPr>
            <w:r>
              <w:rPr>
                <w:rFonts w:ascii="Calibri" w:hAnsi="Calibri"/>
                <w:b/>
                <w:sz w:val="15"/>
              </w:rPr>
              <w:t>0.761</w:t>
            </w:r>
          </w:p>
        </w:tc>
        <w:tc>
          <w:tcPr>
            <w:tcW w:type="dxa" w:w="1305"/>
            <w:vAlign w:val="center"/>
            <w:shd w:fill="E7F4EC"/>
          </w:tcPr>
          <w:p>
            <w:pPr>
              <w:spacing w:after="0"/>
              <w:jc w:val="center"/>
            </w:pPr>
            <w:r>
              <w:rPr>
                <w:rFonts w:ascii="Calibri" w:hAnsi="Calibri"/>
                <w:b/>
                <w:sz w:val="15"/>
              </w:rPr>
              <w:t>0.626</w:t>
            </w:r>
          </w:p>
        </w:tc>
      </w:tr>
      <w:tr>
        <w:tc>
          <w:tcPr>
            <w:tcW w:type="dxa" w:w="4140"/>
            <w:vAlign w:val="center"/>
          </w:tcPr>
          <w:p>
            <w:pPr>
              <w:spacing w:after="0"/>
              <w:jc w:val="left"/>
            </w:pPr>
            <w:r>
              <w:rPr>
                <w:rFonts w:ascii="Calibri" w:hAnsi="Calibri"/>
                <w:b w:val="0"/>
                <w:sz w:val="15"/>
              </w:rPr>
              <w:t>Region-Aware Memory</w:t>
            </w:r>
          </w:p>
        </w:tc>
        <w:tc>
          <w:tcPr>
            <w:tcW w:type="dxa" w:w="1305"/>
            <w:vAlign w:val="center"/>
          </w:tcPr>
          <w:p>
            <w:pPr>
              <w:spacing w:after="0"/>
              <w:jc w:val="center"/>
            </w:pPr>
            <w:r>
              <w:rPr>
                <w:rFonts w:ascii="Calibri" w:hAnsi="Calibri"/>
                <w:b w:val="0"/>
                <w:sz w:val="15"/>
              </w:rPr>
              <w:t>0.730</w:t>
            </w:r>
          </w:p>
        </w:tc>
        <w:tc>
          <w:tcPr>
            <w:tcW w:type="dxa" w:w="1305"/>
            <w:vAlign w:val="center"/>
          </w:tcPr>
          <w:p>
            <w:pPr>
              <w:spacing w:after="0"/>
              <w:jc w:val="center"/>
            </w:pPr>
            <w:r>
              <w:rPr>
                <w:rFonts w:ascii="Calibri" w:hAnsi="Calibri"/>
                <w:b w:val="0"/>
                <w:sz w:val="15"/>
              </w:rPr>
              <w:t>0.784</w:t>
            </w:r>
          </w:p>
        </w:tc>
        <w:tc>
          <w:tcPr>
            <w:tcW w:type="dxa" w:w="1305"/>
            <w:vAlign w:val="center"/>
          </w:tcPr>
          <w:p>
            <w:pPr>
              <w:spacing w:after="0"/>
              <w:jc w:val="center"/>
            </w:pPr>
            <w:r>
              <w:rPr>
                <w:rFonts w:ascii="Calibri" w:hAnsi="Calibri"/>
                <w:b w:val="0"/>
                <w:sz w:val="15"/>
              </w:rPr>
              <w:t>0.750</w:t>
            </w:r>
          </w:p>
        </w:tc>
        <w:tc>
          <w:tcPr>
            <w:tcW w:type="dxa" w:w="1305"/>
            <w:vAlign w:val="center"/>
          </w:tcPr>
          <w:p>
            <w:pPr>
              <w:spacing w:after="0"/>
              <w:jc w:val="center"/>
            </w:pPr>
            <w:r>
              <w:rPr>
                <w:rFonts w:ascii="Calibri" w:hAnsi="Calibri"/>
                <w:b w:val="0"/>
                <w:sz w:val="15"/>
              </w:rPr>
              <w:t>0.626</w:t>
            </w:r>
          </w:p>
        </w:tc>
      </w:tr>
      <w:tr>
        <w:tc>
          <w:tcPr>
            <w:tcW w:type="dxa" w:w="4140"/>
            <w:vAlign w:val="center"/>
          </w:tcPr>
          <w:p>
            <w:pPr>
              <w:spacing w:after="0"/>
              <w:jc w:val="left"/>
            </w:pPr>
            <w:r>
              <w:rPr>
                <w:rFonts w:ascii="Calibri" w:hAnsi="Calibri"/>
                <w:b w:val="0"/>
                <w:sz w:val="15"/>
              </w:rPr>
              <w:t>Patch Memory</w:t>
            </w:r>
          </w:p>
        </w:tc>
        <w:tc>
          <w:tcPr>
            <w:tcW w:type="dxa" w:w="1305"/>
            <w:vAlign w:val="center"/>
          </w:tcPr>
          <w:p>
            <w:pPr>
              <w:spacing w:after="0"/>
              <w:jc w:val="center"/>
            </w:pPr>
            <w:r>
              <w:rPr>
                <w:rFonts w:ascii="Calibri" w:hAnsi="Calibri"/>
                <w:b w:val="0"/>
                <w:sz w:val="15"/>
              </w:rPr>
              <w:t>0.697</w:t>
            </w:r>
          </w:p>
        </w:tc>
        <w:tc>
          <w:tcPr>
            <w:tcW w:type="dxa" w:w="1305"/>
            <w:vAlign w:val="center"/>
          </w:tcPr>
          <w:p>
            <w:pPr>
              <w:spacing w:after="0"/>
              <w:jc w:val="center"/>
            </w:pPr>
            <w:r>
              <w:rPr>
                <w:rFonts w:ascii="Calibri" w:hAnsi="Calibri"/>
                <w:b w:val="0"/>
                <w:sz w:val="15"/>
              </w:rPr>
              <w:t>0.765</w:t>
            </w:r>
          </w:p>
        </w:tc>
        <w:tc>
          <w:tcPr>
            <w:tcW w:type="dxa" w:w="1305"/>
            <w:vAlign w:val="center"/>
          </w:tcPr>
          <w:p>
            <w:pPr>
              <w:spacing w:after="0"/>
              <w:jc w:val="center"/>
            </w:pPr>
            <w:r>
              <w:rPr>
                <w:rFonts w:ascii="Calibri" w:hAnsi="Calibri"/>
                <w:b w:val="0"/>
                <w:sz w:val="15"/>
              </w:rPr>
              <w:t>0.724</w:t>
            </w:r>
          </w:p>
        </w:tc>
        <w:tc>
          <w:tcPr>
            <w:tcW w:type="dxa" w:w="1305"/>
            <w:vAlign w:val="center"/>
          </w:tcPr>
          <w:p>
            <w:pPr>
              <w:spacing w:after="0"/>
              <w:jc w:val="center"/>
            </w:pPr>
            <w:r>
              <w:rPr>
                <w:rFonts w:ascii="Calibri" w:hAnsi="Calibri"/>
                <w:b w:val="0"/>
                <w:sz w:val="15"/>
              </w:rPr>
              <w:t>0.612</w:t>
            </w:r>
          </w:p>
        </w:tc>
      </w:tr>
      <w:tr>
        <w:tc>
          <w:tcPr>
            <w:tcW w:type="dxa" w:w="4140"/>
            <w:vAlign w:val="center"/>
          </w:tcPr>
          <w:p>
            <w:pPr>
              <w:spacing w:after="0"/>
              <w:jc w:val="left"/>
            </w:pPr>
            <w:r>
              <w:rPr>
                <w:rFonts w:ascii="Calibri" w:hAnsi="Calibri"/>
                <w:b w:val="0"/>
                <w:sz w:val="15"/>
              </w:rPr>
              <w:t>Fusion (rank average)</w:t>
            </w:r>
          </w:p>
        </w:tc>
        <w:tc>
          <w:tcPr>
            <w:tcW w:type="dxa" w:w="1305"/>
            <w:vAlign w:val="center"/>
          </w:tcPr>
          <w:p>
            <w:pPr>
              <w:spacing w:after="0"/>
              <w:jc w:val="center"/>
            </w:pPr>
            <w:r>
              <w:rPr>
                <w:rFonts w:ascii="Calibri" w:hAnsi="Calibri"/>
                <w:b w:val="0"/>
                <w:sz w:val="15"/>
              </w:rPr>
              <w:t>0.727</w:t>
            </w:r>
          </w:p>
        </w:tc>
        <w:tc>
          <w:tcPr>
            <w:tcW w:type="dxa" w:w="1305"/>
            <w:vAlign w:val="center"/>
          </w:tcPr>
          <w:p>
            <w:pPr>
              <w:spacing w:after="0"/>
              <w:jc w:val="center"/>
            </w:pPr>
            <w:r>
              <w:rPr>
                <w:rFonts w:ascii="Calibri" w:hAnsi="Calibri"/>
                <w:b w:val="0"/>
                <w:sz w:val="15"/>
              </w:rPr>
              <w:t>0.720</w:t>
            </w:r>
          </w:p>
        </w:tc>
        <w:tc>
          <w:tcPr>
            <w:tcW w:type="dxa" w:w="1305"/>
            <w:vAlign w:val="center"/>
          </w:tcPr>
          <w:p>
            <w:pPr>
              <w:spacing w:after="0"/>
              <w:jc w:val="center"/>
            </w:pPr>
            <w:r>
              <w:rPr>
                <w:rFonts w:ascii="Calibri" w:hAnsi="Calibri"/>
                <w:b w:val="0"/>
                <w:sz w:val="15"/>
              </w:rPr>
              <w:t>0.720</w:t>
            </w:r>
          </w:p>
        </w:tc>
        <w:tc>
          <w:tcPr>
            <w:tcW w:type="dxa" w:w="1305"/>
            <w:vAlign w:val="center"/>
          </w:tcPr>
          <w:p>
            <w:pPr>
              <w:spacing w:after="0"/>
              <w:jc w:val="center"/>
            </w:pPr>
            <w:r>
              <w:rPr>
                <w:rFonts w:ascii="Calibri" w:hAnsi="Calibri"/>
                <w:b w:val="0"/>
                <w:sz w:val="15"/>
              </w:rPr>
              <w:t>0.573</w:t>
            </w:r>
          </w:p>
        </w:tc>
      </w:tr>
      <w:tr>
        <w:tc>
          <w:tcPr>
            <w:tcW w:type="dxa" w:w="4140"/>
            <w:vAlign w:val="center"/>
          </w:tcPr>
          <w:p>
            <w:pPr>
              <w:spacing w:after="0"/>
              <w:jc w:val="left"/>
            </w:pPr>
            <w:r>
              <w:rPr>
                <w:rFonts w:ascii="Calibri" w:hAnsi="Calibri"/>
                <w:b w:val="0"/>
                <w:sz w:val="15"/>
              </w:rPr>
              <w:t>Fusion (max)</w:t>
            </w:r>
          </w:p>
        </w:tc>
        <w:tc>
          <w:tcPr>
            <w:tcW w:type="dxa" w:w="1305"/>
            <w:vAlign w:val="center"/>
          </w:tcPr>
          <w:p>
            <w:pPr>
              <w:spacing w:after="0"/>
              <w:jc w:val="center"/>
            </w:pPr>
            <w:r>
              <w:rPr>
                <w:rFonts w:ascii="Calibri" w:hAnsi="Calibri"/>
                <w:b w:val="0"/>
                <w:sz w:val="15"/>
              </w:rPr>
              <w:t>0.692</w:t>
            </w:r>
          </w:p>
        </w:tc>
        <w:tc>
          <w:tcPr>
            <w:tcW w:type="dxa" w:w="1305"/>
            <w:vAlign w:val="center"/>
          </w:tcPr>
          <w:p>
            <w:pPr>
              <w:spacing w:after="0"/>
              <w:jc w:val="center"/>
            </w:pPr>
            <w:r>
              <w:rPr>
                <w:rFonts w:ascii="Calibri" w:hAnsi="Calibri"/>
                <w:b w:val="0"/>
                <w:sz w:val="15"/>
              </w:rPr>
              <w:t>0.741</w:t>
            </w:r>
          </w:p>
        </w:tc>
        <w:tc>
          <w:tcPr>
            <w:tcW w:type="dxa" w:w="1305"/>
            <w:vAlign w:val="center"/>
          </w:tcPr>
          <w:p>
            <w:pPr>
              <w:spacing w:after="0"/>
              <w:jc w:val="center"/>
            </w:pPr>
            <w:r>
              <w:rPr>
                <w:rFonts w:ascii="Calibri" w:hAnsi="Calibri"/>
                <w:b w:val="0"/>
                <w:sz w:val="15"/>
              </w:rPr>
              <w:t>0.714</w:t>
            </w:r>
          </w:p>
        </w:tc>
        <w:tc>
          <w:tcPr>
            <w:tcW w:type="dxa" w:w="1305"/>
            <w:vAlign w:val="center"/>
          </w:tcPr>
          <w:p>
            <w:pPr>
              <w:spacing w:after="0"/>
              <w:jc w:val="center"/>
            </w:pPr>
            <w:r>
              <w:rPr>
                <w:rFonts w:ascii="Calibri" w:hAnsi="Calibri"/>
                <w:b w:val="0"/>
                <w:sz w:val="15"/>
              </w:rPr>
              <w:t>0.551</w:t>
            </w:r>
          </w:p>
        </w:tc>
      </w:tr>
      <w:tr>
        <w:tc>
          <w:tcPr>
            <w:tcW w:type="dxa" w:w="4140"/>
            <w:vAlign w:val="center"/>
          </w:tcPr>
          <w:p>
            <w:pPr>
              <w:spacing w:after="0"/>
              <w:jc w:val="left"/>
            </w:pPr>
            <w:r>
              <w:rPr>
                <w:rFonts w:ascii="Calibri" w:hAnsi="Calibri"/>
                <w:b w:val="0"/>
                <w:sz w:val="15"/>
              </w:rPr>
              <w:t>Global Image-Stat proxy</w:t>
            </w:r>
          </w:p>
        </w:tc>
        <w:tc>
          <w:tcPr>
            <w:tcW w:type="dxa" w:w="1305"/>
            <w:vAlign w:val="center"/>
          </w:tcPr>
          <w:p>
            <w:pPr>
              <w:spacing w:after="0"/>
              <w:jc w:val="center"/>
            </w:pPr>
            <w:r>
              <w:rPr>
                <w:rFonts w:ascii="Calibri" w:hAnsi="Calibri"/>
                <w:b w:val="0"/>
                <w:sz w:val="15"/>
              </w:rPr>
              <w:t>0.634</w:t>
            </w:r>
          </w:p>
        </w:tc>
        <w:tc>
          <w:tcPr>
            <w:tcW w:type="dxa" w:w="1305"/>
            <w:vAlign w:val="center"/>
          </w:tcPr>
          <w:p>
            <w:pPr>
              <w:spacing w:after="0"/>
              <w:jc w:val="center"/>
            </w:pPr>
            <w:r>
              <w:rPr>
                <w:rFonts w:ascii="Calibri" w:hAnsi="Calibri"/>
                <w:b w:val="0"/>
                <w:sz w:val="15"/>
              </w:rPr>
              <w:t>0.683</w:t>
            </w:r>
          </w:p>
        </w:tc>
        <w:tc>
          <w:tcPr>
            <w:tcW w:type="dxa" w:w="1305"/>
            <w:vAlign w:val="center"/>
          </w:tcPr>
          <w:p>
            <w:pPr>
              <w:spacing w:after="0"/>
              <w:jc w:val="center"/>
            </w:pPr>
            <w:r>
              <w:rPr>
                <w:rFonts w:ascii="Calibri" w:hAnsi="Calibri"/>
                <w:b w:val="0"/>
                <w:sz w:val="15"/>
              </w:rPr>
              <w:t>0.655</w:t>
            </w:r>
          </w:p>
        </w:tc>
        <w:tc>
          <w:tcPr>
            <w:tcW w:type="dxa" w:w="1305"/>
            <w:vAlign w:val="center"/>
          </w:tcPr>
          <w:p>
            <w:pPr>
              <w:spacing w:after="0"/>
              <w:jc w:val="center"/>
            </w:pPr>
            <w:r>
              <w:rPr>
                <w:rFonts w:ascii="Calibri" w:hAnsi="Calibri"/>
                <w:b w:val="0"/>
                <w:sz w:val="15"/>
              </w:rPr>
              <w:t>0.474</w:t>
            </w:r>
          </w:p>
        </w:tc>
      </w:tr>
      <w:tr>
        <w:tc>
          <w:tcPr>
            <w:tcW w:type="dxa" w:w="4140"/>
            <w:vAlign w:val="center"/>
          </w:tcPr>
          <w:p>
            <w:pPr>
              <w:spacing w:after="0"/>
              <w:jc w:val="left"/>
            </w:pPr>
            <w:r>
              <w:rPr>
                <w:rFonts w:ascii="Calibri" w:hAnsi="Calibri"/>
                <w:b w:val="0"/>
                <w:sz w:val="15"/>
              </w:rPr>
              <w:t>Composition Histogram</w:t>
            </w:r>
          </w:p>
        </w:tc>
        <w:tc>
          <w:tcPr>
            <w:tcW w:type="dxa" w:w="1305"/>
            <w:vAlign w:val="center"/>
          </w:tcPr>
          <w:p>
            <w:pPr>
              <w:spacing w:after="0"/>
              <w:jc w:val="center"/>
            </w:pPr>
            <w:r>
              <w:rPr>
                <w:rFonts w:ascii="Calibri" w:hAnsi="Calibri"/>
                <w:b w:val="0"/>
                <w:sz w:val="15"/>
              </w:rPr>
              <w:t>0.644</w:t>
            </w:r>
          </w:p>
        </w:tc>
        <w:tc>
          <w:tcPr>
            <w:tcW w:type="dxa" w:w="1305"/>
            <w:vAlign w:val="center"/>
          </w:tcPr>
          <w:p>
            <w:pPr>
              <w:spacing w:after="0"/>
              <w:jc w:val="center"/>
            </w:pPr>
            <w:r>
              <w:rPr>
                <w:rFonts w:ascii="Calibri" w:hAnsi="Calibri"/>
                <w:b w:val="0"/>
                <w:sz w:val="15"/>
              </w:rPr>
              <w:t>0.498</w:t>
            </w:r>
          </w:p>
        </w:tc>
        <w:tc>
          <w:tcPr>
            <w:tcW w:type="dxa" w:w="1305"/>
            <w:vAlign w:val="center"/>
          </w:tcPr>
          <w:p>
            <w:pPr>
              <w:spacing w:after="0"/>
              <w:jc w:val="center"/>
            </w:pPr>
            <w:r>
              <w:rPr>
                <w:rFonts w:ascii="Calibri" w:hAnsi="Calibri"/>
                <w:b w:val="0"/>
                <w:sz w:val="15"/>
              </w:rPr>
              <w:t>0.576</w:t>
            </w:r>
          </w:p>
        </w:tc>
        <w:tc>
          <w:tcPr>
            <w:tcW w:type="dxa" w:w="1305"/>
            <w:vAlign w:val="center"/>
          </w:tcPr>
          <w:p>
            <w:pPr>
              <w:spacing w:after="0"/>
              <w:jc w:val="center"/>
            </w:pPr>
            <w:r>
              <w:rPr>
                <w:rFonts w:ascii="Calibri" w:hAnsi="Calibri"/>
                <w:b w:val="0"/>
                <w:sz w:val="15"/>
              </w:rPr>
              <w:t>0.396</w:t>
            </w:r>
          </w:p>
        </w:tc>
      </w:tr>
    </w:tbl>
    <w:p>
      <w:pPr>
        <w:spacing w:before="40" w:after="100"/>
        <w:jc w:val="center"/>
      </w:pPr>
      <w:r>
        <w:rPr>
          <w:rFonts w:ascii="Calibri" w:hAnsi="Calibri"/>
          <w:i/>
          <w:color w:val="5A6470"/>
          <w:sz w:val="16"/>
        </w:rPr>
        <w:t>Table 2. Corrected image-level results. AUROC is threshold-free; F1 uses a validation-good operating threshold.</w:t>
      </w:r>
    </w:p>
    <w:p>
      <w:pPr>
        <w:keepNext/>
        <w:spacing w:after="0"/>
        <w:jc w:val="center"/>
      </w:pPr>
      <w:r>
        <w:drawing>
          <wp:inline xmlns:a="http://schemas.openxmlformats.org/drawingml/2006/main" xmlns:pic="http://schemas.openxmlformats.org/drawingml/2006/picture">
            <wp:extent cx="5806440" cy="2358866"/>
            <wp:docPr id="3" name="Picture 3" descr="Horizontal bar chart comparing overall image-level AUROC. Mean fusion is highest at 0.761." title="Figure 3"/>
            <wp:cNvGraphicFramePr>
              <a:graphicFrameLocks noChangeAspect="1"/>
            </wp:cNvGraphicFramePr>
            <a:graphic>
              <a:graphicData uri="http://schemas.openxmlformats.org/drawingml/2006/picture">
                <pic:pic>
                  <pic:nvPicPr>
                    <pic:cNvPr id="0" name="academic_results_chart.png"/>
                    <pic:cNvPicPr/>
                  </pic:nvPicPr>
                  <pic:blipFill>
                    <a:blip r:embed="rId13"/>
                    <a:stretch>
                      <a:fillRect/>
                    </a:stretch>
                  </pic:blipFill>
                  <pic:spPr>
                    <a:xfrm>
                      <a:off x="0" y="0"/>
                      <a:ext cx="5806440" cy="2358866"/>
                    </a:xfrm>
                    <a:prstGeom prst="rect"/>
                  </pic:spPr>
                </pic:pic>
              </a:graphicData>
            </a:graphic>
          </wp:inline>
        </w:drawing>
      </w:r>
    </w:p>
    <w:p>
      <w:pPr>
        <w:spacing w:before="40" w:after="100"/>
        <w:jc w:val="center"/>
      </w:pPr>
      <w:r>
        <w:rPr>
          <w:rFonts w:ascii="Calibri" w:hAnsi="Calibri"/>
          <w:i/>
          <w:color w:val="5A6470"/>
          <w:sz w:val="16"/>
        </w:rPr>
        <w:t>Figure 3. Corrected overall AUROC for all reported methods and fusion rules.</w:t>
      </w:r>
    </w:p>
    <w:p>
      <w:pPr>
        <w:pStyle w:val="ListBullet"/>
        <w:spacing w:after="30"/>
      </w:pPr>
      <w:r>
        <w:rPr>
          <w:rFonts w:ascii="Calibri" w:hAnsi="Calibri"/>
          <w:b/>
          <w:sz w:val="18"/>
        </w:rPr>
        <w:t xml:space="preserve">Best pre-specified result: </w:t>
      </w:r>
      <w:r>
        <w:rPr>
          <w:rFonts w:ascii="Calibri" w:hAnsi="Calibri"/>
          <w:sz w:val="18"/>
        </w:rPr>
        <w:t>mean fusion reached 0.761 overall AUROC.</w:t>
      </w:r>
    </w:p>
    <w:p>
      <w:pPr>
        <w:pStyle w:val="ListBullet"/>
        <w:spacing w:after="30"/>
      </w:pPr>
      <w:r>
        <w:rPr>
          <w:rFonts w:ascii="Calibri" w:hAnsi="Calibri"/>
          <w:b/>
          <w:sz w:val="18"/>
        </w:rPr>
        <w:t xml:space="preserve">Best single detector: </w:t>
      </w:r>
      <w:r>
        <w:rPr>
          <w:rFonts w:ascii="Calibri" w:hAnsi="Calibri"/>
          <w:sz w:val="18"/>
        </w:rPr>
        <w:t>Region-Aware Memory reached 0.750 overall AUROC.</w:t>
      </w:r>
    </w:p>
    <w:p>
      <w:pPr>
        <w:pStyle w:val="ListBullet"/>
        <w:spacing w:after="30"/>
      </w:pPr>
      <w:r>
        <w:rPr>
          <w:rFonts w:ascii="Calibri" w:hAnsi="Calibri"/>
          <w:b/>
          <w:sz w:val="18"/>
        </w:rPr>
        <w:t xml:space="preserve">Main pattern: </w:t>
      </w:r>
      <w:r>
        <w:rPr>
          <w:rFonts w:ascii="Calibri" w:hAnsi="Calibri"/>
          <w:sz w:val="18"/>
        </w:rPr>
        <w:t>structural AUROC (0.804) was higher than logical AUROC (0.731).</w:t>
      </w:r>
    </w:p>
    <w:tbl>
      <w:tblPr>
        <w:tblW w:type="dxa" w:w="9360"/>
        <w:jc w:val="center"/>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shd w:fill="E7F4EC"/>
            <w:vAlign w:val="center"/>
          </w:tcPr>
          <w:p>
            <w:pPr>
              <w:spacing w:after="0"/>
            </w:pPr>
            <w:r>
              <w:rPr>
                <w:rFonts w:ascii="Calibri" w:hAnsi="Calibri"/>
                <w:b/>
                <w:color w:val="1F3A5F"/>
              </w:rPr>
              <w:t xml:space="preserve">Feature-selection analysis. </w:t>
            </w:r>
            <w:r>
              <w:rPr>
                <w:rFonts w:ascii="Calibri" w:hAnsi="Calibri"/>
              </w:rPr>
              <w:t>Removing a duplicate Patch Memory entry and the weak Composition Histogram branch produced a three-branch score of 0.764 overall AUROC and 0.826 structural AUROC. This analysis used held-out test labels, so it is reported as a later diagnostic result. Mean fusion remains the headline result.</w:t>
            </w:r>
          </w:p>
        </w:tc>
      </w:tr>
    </w:tbl>
    <w:p>
      <w:pPr>
        <w:spacing w:after="40"/>
      </w:pPr>
    </w:p>
    <w:p>
      <w:r>
        <w:br w:type="page"/>
      </w:r>
    </w:p>
    <w:p>
      <w:pPr>
        <w:pStyle w:val="Heading1"/>
      </w:pPr>
      <w:r>
        <w:t>7. Explainability and Limitations</w:t>
      </w:r>
    </w:p>
    <w:p>
      <w:pPr>
        <w:keepNext/>
        <w:spacing w:after="0"/>
        <w:jc w:val="center"/>
      </w:pPr>
      <w:r>
        <w:drawing>
          <wp:inline xmlns:a="http://schemas.openxmlformats.org/drawingml/2006/main" xmlns:pic="http://schemas.openxmlformats.org/drawingml/2006/picture">
            <wp:extent cx="5349240" cy="3600450"/>
            <wp:docPr id="4" name="Picture 4" descr="Dashboard cards showing normal, logical-anomaly, and structural-anomaly examples with scores and validation thresholds." title="Figure 4"/>
            <wp:cNvGraphicFramePr>
              <a:graphicFrameLocks noChangeAspect="1"/>
            </wp:cNvGraphicFramePr>
            <a:graphic>
              <a:graphicData uri="http://schemas.openxmlformats.org/drawingml/2006/picture">
                <pic:pic>
                  <pic:nvPicPr>
                    <pic:cNvPr id="0" name="explainability_decisions.png"/>
                    <pic:cNvPicPr/>
                  </pic:nvPicPr>
                  <pic:blipFill>
                    <a:blip r:embed="rId14"/>
                    <a:stretch>
                      <a:fillRect/>
                    </a:stretch>
                  </pic:blipFill>
                  <pic:spPr>
                    <a:xfrm>
                      <a:off x="0" y="0"/>
                      <a:ext cx="5349240" cy="3600450"/>
                    </a:xfrm>
                    <a:prstGeom prst="rect"/>
                  </pic:spPr>
                </pic:pic>
              </a:graphicData>
            </a:graphic>
          </wp:inline>
        </w:drawing>
      </w:r>
    </w:p>
    <w:p>
      <w:pPr>
        <w:spacing w:before="40" w:after="100"/>
        <w:jc w:val="center"/>
      </w:pPr>
      <w:r>
        <w:rPr>
          <w:rFonts w:ascii="Calibri" w:hAnsi="Calibri"/>
          <w:i/>
          <w:color w:val="5A6470"/>
          <w:sz w:val="16"/>
        </w:rPr>
        <w:t>Figure 4. Per-image dashboard decisions with the anomaly score, validation threshold, predicted class, and ground-truth defect region.</w:t>
      </w:r>
    </w:p>
    <w:p>
      <w:pPr>
        <w:spacing w:after="40"/>
      </w:pPr>
      <w:r>
        <w:t>The red region is the dataset annotation, while the score and prediction are model outputs. Keeping them separate prevents the ground truth from being mistaken for a generated explanation.</w:t>
      </w:r>
    </w:p>
    <w:p>
      <w:pPr>
        <w:pStyle w:val="ListBullet"/>
        <w:spacing w:after="30"/>
      </w:pPr>
      <w:r>
        <w:rPr>
          <w:rFonts w:ascii="Calibri" w:hAnsi="Calibri"/>
          <w:b/>
          <w:sz w:val="18"/>
        </w:rPr>
        <w:t xml:space="preserve">Single run: </w:t>
      </w:r>
      <w:r>
        <w:rPr>
          <w:rFonts w:ascii="Calibri" w:hAnsi="Calibri"/>
          <w:sz w:val="18"/>
        </w:rPr>
        <w:t>the headline experiment has not been repeated across several random seeds.</w:t>
      </w:r>
    </w:p>
    <w:p>
      <w:pPr>
        <w:pStyle w:val="ListBullet"/>
        <w:spacing w:after="30"/>
      </w:pPr>
      <w:r>
        <w:rPr>
          <w:rFonts w:ascii="Calibri" w:hAnsi="Calibri"/>
          <w:b/>
          <w:sz w:val="18"/>
        </w:rPr>
        <w:t xml:space="preserve">Padding: </w:t>
      </w:r>
      <w:r>
        <w:rPr>
          <w:rFonts w:ascii="Calibri" w:hAnsi="Calibri"/>
          <w:sz w:val="18"/>
        </w:rPr>
        <w:t>letterbox padding is not fully removed from patch modelling and scoring.</w:t>
      </w:r>
    </w:p>
    <w:p>
      <w:pPr>
        <w:pStyle w:val="ListBullet"/>
        <w:spacing w:after="30"/>
      </w:pPr>
      <w:r>
        <w:rPr>
          <w:rFonts w:ascii="Calibri" w:hAnsi="Calibri"/>
          <w:b/>
          <w:sz w:val="18"/>
        </w:rPr>
        <w:t xml:space="preserve">Logical reasoning: </w:t>
      </w:r>
      <w:r>
        <w:rPr>
          <w:rFonts w:ascii="Calibri" w:hAnsi="Calibri"/>
          <w:sz w:val="18"/>
        </w:rPr>
        <w:t>nearest-neighbour features do not explicitly count parts or model long-range relations.</w:t>
      </w:r>
    </w:p>
    <w:p>
      <w:pPr>
        <w:pStyle w:val="ListBullet"/>
        <w:spacing w:after="30"/>
      </w:pPr>
      <w:r>
        <w:rPr>
          <w:rFonts w:ascii="Calibri" w:hAnsi="Calibri"/>
          <w:b/>
          <w:sz w:val="18"/>
        </w:rPr>
        <w:t xml:space="preserve">Localization: </w:t>
      </w:r>
      <w:r>
        <w:rPr>
          <w:rFonts w:ascii="Calibri" w:hAnsi="Calibri"/>
          <w:sz w:val="18"/>
        </w:rPr>
        <w:t>the final comparison does not yet include complete pixel AUROC and AUPRO results.</w:t>
      </w:r>
    </w:p>
    <w:p>
      <w:pPr>
        <w:pStyle w:val="Heading1"/>
      </w:pPr>
      <w:r>
        <w:t>8. Conclusion</w:t>
      </w:r>
    </w:p>
    <w:p>
      <w:pPr>
        <w:spacing w:after="40"/>
      </w:pPr>
      <w:r>
        <w:t>The LOCO Anomaly Inspector meets the project requirements by combining unsupervised anomaly detection, method comparison, useful EDA, and an interactive dashboard. Mean fusion achieved 0.761 overall AUROC, and the Region-Aware branch was the strongest single detector. The results also show that logical anomalies remain harder than visible structural defects.</w:t>
      </w:r>
    </w:p>
    <w:p>
      <w:pPr>
        <w:pStyle w:val="Heading1"/>
      </w:pPr>
      <w:r>
        <w:t>References</w:t>
      </w:r>
    </w:p>
    <w:p>
      <w:pPr>
        <w:spacing w:after="20"/>
        <w:ind w:left="187" w:hanging="187"/>
      </w:pPr>
      <w:r>
        <w:rPr>
          <w:rFonts w:ascii="Calibri" w:hAnsi="Calibri"/>
          <w:color w:val="5A6470"/>
          <w:sz w:val="15"/>
        </w:rPr>
        <w:t>[1] Bergmann et al., MVTec LOCO AD and GCAD, International Journal of Computer Vision, 2022.</w:t>
      </w:r>
    </w:p>
    <w:p>
      <w:pPr>
        <w:spacing w:after="20"/>
        <w:ind w:left="187" w:hanging="187"/>
      </w:pPr>
      <w:r>
        <w:rPr>
          <w:rFonts w:ascii="Calibri" w:hAnsi="Calibri"/>
          <w:color w:val="5A6470"/>
          <w:sz w:val="15"/>
        </w:rPr>
        <w:t>[2] Oquab et al., DINOv2: Learning Robust Visual Features without Supervision, TMLR, 2024.</w:t>
      </w:r>
    </w:p>
    <w:p>
      <w:pPr>
        <w:spacing w:after="20"/>
        <w:ind w:left="187" w:hanging="187"/>
      </w:pPr>
      <w:r>
        <w:rPr>
          <w:rFonts w:ascii="Calibri" w:hAnsi="Calibri"/>
          <w:color w:val="5A6470"/>
          <w:sz w:val="15"/>
        </w:rPr>
        <w:t>[3] MVTec LOCO AD dataset documentation and project experiment outputs.</w:t>
      </w:r>
    </w:p>
    <w:sectPr w:rsidR="00FC693F" w:rsidRPr="0006063C" w:rsidSect="00034616">
      <w:headerReference w:type="default" r:id="rId9"/>
      <w:footerReference w:type="default" r:id="rId10"/>
      <w:pgSz w:w="12240" w:h="15840"/>
      <w:pgMar w:top="1037" w:right="1123"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7"/>
      </w:rPr>
      <w:t xml:space="preserve">Page </w:t>
    </w:r>
    <w:r>
      <w:rPr>
        <w:rFonts w:ascii="Calibri" w:hAnsi="Calibri"/>
        <w:color w:val="5A64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470"/>
        <w:sz w:val="16"/>
      </w:rPr>
      <w:t>LOCO Anomaly Inspector | Data Analytics Lab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50" w:lineRule="auto"/>
    </w:pPr>
    <w:rPr>
      <w:rFonts w:ascii="Calibri" w:hAnsi="Calibri"/>
      <w:color w:val="1E24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Calibri" w:hAnsi="Calibri"/>
      <w:b/>
      <w:bCs/>
      <w:color w:val="245D91"/>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Calibri" w:hAnsi="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5" w:lineRule="auto"/>
      <w:ind w:left="518" w:hanging="259"/>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5" w:lineRule="auto"/>
      <w:ind w:left="518" w:hanging="259"/>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LOCO Anomaly Inspector - Final Academic Report</dc:title>
  <dc:subject>Five-page Data Analytics Lab final project report</dc:subject>
  <dc:creator>python-docx</dc:creator>
  <cp:keywords>MVTec LOCO AD, DINOv2, anomaly detection, dashboard</cp:keywords>
  <dc:description>generated by python-docx</dc:description>
  <cp:lastModifiedBy/>
  <cp:revision>1</cp:revision>
  <dcterms:created xsi:type="dcterms:W3CDTF">2013-12-23T23:15:00Z</dcterms:created>
  <dcterms:modified xsi:type="dcterms:W3CDTF">2013-12-23T23:15:00Z</dcterms:modified>
  <cp:category/>
</cp:coreProperties>
</file>