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A Lightweight, Reproducible Two-Branch Baseline for Logical and Structural Anomaly Detection on MVTec LOCO</w:t>
      </w:r>
    </w:p>
    <w:p>
      <w:pPr>
        <w:spacing w:after="160"/>
        <w:jc w:val="center"/>
      </w:pPr>
      <w:r>
        <w:rPr>
          <w:color w:val="666666"/>
          <w:sz w:val="20"/>
          <w:szCs w:val="20"/>
        </w:rPr>
        <w:t xml:space="preserve">Data Analytics Lab — Project A Technical Report</w:t>
      </w:r>
    </w:p>
    <w:p>
      <w:pPr>
        <w:pStyle w:val="Heading1"/>
      </w:pPr>
      <w:r>
        <w:t xml:space="preserve">Abstract</w:t>
      </w:r>
    </w:p>
    <w:p>
      <w:pPr>
        <w:spacing w:after="120"/>
        <w:jc w:val="both"/>
      </w:pPr>
      <w:r>
        <w:rPr>
          <w:sz w:val="22"/>
          <w:szCs w:val="22"/>
        </w:rPr>
        <w:t xml:space="preserve">We study unsupervised detection of logical and structural anomalies on the MVTec LOCO AD benchmark, where models are trained only on defect-free images and must flag both local defects (scratches, dents) and logical violations (missing, extra, or misplaced components). We implement a fully reproducible pipeline: a leakage-audited preprocessing stage, exploratory analysis, four anomaly scorers, and a validation-normalised fusion. To keep the study honest and lightweight, all detectors operate on reproducible handcrafted patch descriptors rather than pretrained backbones. Our best fusion reaches an overall image-level AUROC of 0.74 (0.71 logical / 0.78 structural), establishing a transparent baseline; we analyse failure modes per category and document a clear DINOv2 upgrade path expected to close most of the gap to the published state of the art (0.95+).</w:t>
      </w:r>
    </w:p>
    <w:p>
      <w:pPr>
        <w:pStyle w:val="Heading1"/>
      </w:pPr>
      <w:r>
        <w:t xml:space="preserve">1. Introduction</w:t>
      </w:r>
    </w:p>
    <w:p>
      <w:pPr>
        <w:spacing w:after="120"/>
        <w:jc w:val="both"/>
      </w:pPr>
      <w:r>
        <w:rPr>
          <w:sz w:val="22"/>
          <w:szCs w:val="22"/>
        </w:rPr>
        <w:t xml:space="preserve">Industrial visual inspection increasingly relies on anomaly detection trained without labelled defects, because defects are rare and diverse. MVTec LOCO AD [1] is the standard benchmark for this setting and is distinctive in that it separates two anomaly families. Structural anomalies are local texture/shape defects, while logical anomalies preserve locally-normal appearance but violate global rules — e.g. a breakfast box missing a fruit, or pushpins in the wrong count. Logical anomalies are hard precisely because every local patch can look normal; only the global composition is wrong [1]. This project builds an end-to-end, reproducible system that (i) audits and cleans the data, (ii) surfaces only decision-relevant EDA, (iii) scores anomalies with complementary models, and (iv) presents results in an interactive dashboard with a short report.</w:t>
      </w:r>
    </w:p>
    <w:p>
      <w:pPr>
        <w:pStyle w:val="Heading1"/>
      </w:pPr>
      <w:r>
        <w:t xml:space="preserve">2. Dataset and Preprocessing</w:t>
      </w:r>
    </w:p>
    <w:p>
      <w:pPr>
        <w:spacing w:after="120"/>
        <w:jc w:val="both"/>
      </w:pPr>
      <w:r>
        <w:rPr>
          <w:sz w:val="22"/>
          <w:szCs w:val="22"/>
        </w:rPr>
        <w:t xml:space="preserve">MVTec LOCO AD contains five categories. Each provides defect-free training images, a held-out validation set of defect-free images, and a test set mixing good, logical, and structural images with pixel ground-truth masks. We never use anomalous images or masks during fitting.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Train (good)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Validation (good)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breakfast_box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351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275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juice_bottle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335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330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pushpins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372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310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screw_bag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360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341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splicing_connectors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360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312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1778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305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1568</w:t>
            </w:r>
          </w:p>
        </w:tc>
      </w:tr>
    </w:tbl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Table 1. Image counts per category and split. Models fit on Train(good) only; Validation(good) sets the decision threshold; Test is held out for evaluation.</w:t>
      </w:r>
    </w:p>
    <w:p>
      <w:pPr>
        <w:spacing w:after="120"/>
        <w:jc w:val="both"/>
      </w:pPr>
      <w:r>
        <w:rPr>
          <w:sz w:val="22"/>
          <w:szCs w:val="22"/>
        </w:rPr>
        <w:t xml:space="preserve">Preprocessing emphasises reproducibility and leakage safety: (a) the raw dataset is treated as read-only; (b) every image is resized to 384×384 with aspect-ratio-preserving letterboxing (bilinear for images, nearest-neighbour + re-binarisation for masks); (c) we compute MD5 and average-hash fingerprints to detect duplicate leakage across splits (none found); (d) environment versions and a full dependency freeze are stored. Audit totals: 3,651 product images and 1,246 mask files, 0 corrupted, 0 wrong-size after cleaning.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3276600"/>
            <wp:effectExtent t="0" r="0" b="0" l="0"/>
            <wp:docPr id="1" name="Anomaly mask overlays" descr="Anomaly mask overlays" title="Anomaly mask overla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1. Representative test images with ground-truth anomaly regions overlaid (red). Logical anomalies often have large, diffuse masks; structural anomalies are localised.</w:t>
      </w:r>
    </w:p>
    <w:p>
      <w:pPr>
        <w:pStyle w:val="Heading1"/>
      </w:pPr>
      <w:r>
        <w:t xml:space="preserve">3. Methods</w:t>
      </w:r>
    </w:p>
    <w:p>
      <w:pPr>
        <w:spacing w:after="120"/>
        <w:jc w:val="both"/>
      </w:pPr>
      <w:r>
        <w:rPr>
          <w:sz w:val="22"/>
          <w:szCs w:val="22"/>
        </w:rPr>
        <w:t xml:space="preserve">Each image is divided into a grid of patches; every patch is described by a compact handcrafted feature (per-channel colour mean and standard deviation plus local edge density). We deliberately use these reproducible descriptors — not a pretrained network — so the entire pipeline runs deterministically on any machine and provides an honest lower bound. Four scorers are evaluated: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Patch-Stat Memory (NN): a PatchCore-style memory bank of normal patch descriptors; an image scores high if its patches are far (nearest-neighbour distance) from all normal patches. Sensitive to local/structural defects.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Region-Aware Patch Memory: the memory is conditioned on coarse spatial regions, so a patch is compared only to normal patches from the same location — adding weak global/positional awareness for logical cues.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Composition Histogram (BoVW): patches are quantised into visual words (k-means); the image-level word histogram is scored by Mahalanobis distance to the normal distribution. Directly targets logical anomalies via global composition.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Global Image-Stat Detector: a single global descriptor scored by normalised distance to the normal mean — a fast image-level baseline.</w:t>
      </w:r>
    </w:p>
    <w:p>
      <w:pPr>
        <w:spacing w:after="120"/>
        <w:jc w:val="both"/>
      </w:pPr>
      <w:r>
        <w:rPr>
          <w:sz w:val="22"/>
          <w:szCs w:val="22"/>
        </w:rPr>
        <w:t xml:space="preserve">Fusion: each scorer is z-normalised using validation/good scores only, then combined. We report mean, max, and rank-average fusion. All thresholds and normalisation statistics are derived from validation data; no test labels are used for any tuning.</w:t>
      </w:r>
    </w:p>
    <w:p>
      <w:pPr>
        <w:pStyle w:val="Heading1"/>
      </w:pPr>
      <w:r>
        <w:t xml:space="preserve">4. Results</w:t>
      </w:r>
    </w:p>
    <w:p>
      <w:pPr>
        <w:spacing w:after="120"/>
        <w:jc w:val="both"/>
      </w:pPr>
      <w:r>
        <w:rPr>
          <w:sz w:val="22"/>
          <w:szCs w:val="22"/>
        </w:rPr>
        <w:t xml:space="preserve">Table 2 reports image-level AUROC (threshold-free) and F1 at a fixed validation-derived operating point (the 90th percentile of validation/good scores). Logical and structural anomalies are scored separately, as the benchmark requires.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Logical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Structural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Overall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F1 (overall)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Fusion (max)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0.706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0.780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0.738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0.594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Fusion (mean)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0.687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0.797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0.734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0.567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Region-Aware Patch Memory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0.659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0.814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0.726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0.576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Fusion (rank-avg)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0.672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0.787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0.721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0.508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Composition Histogram (BoVW)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0.666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0.658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0.660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0.448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Global Image-Stat Detector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0.634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0.683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0.655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0.474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Patch-Stat Memory (NN)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0.580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0.744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0.654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0.443</w:t>
            </w:r>
          </w:p>
        </w:tc>
      </w:tr>
    </w:tbl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Table 2. Image-level AUROC and F1 by method, averaged across the five categories. Best overall in bold. Fusion of complementary scorers outperforms any single model.</w:t>
      </w:r>
    </w:p>
    <w:p>
      <w:pPr>
        <w:spacing w:after="120"/>
        <w:jc w:val="both"/>
      </w:pPr>
      <w:r>
        <w:rPr>
          <w:sz w:val="22"/>
          <w:szCs w:val="22"/>
        </w:rPr>
        <w:t xml:space="preserve">Three findings stand out. First, fusion helps: combining a local memory scorer with a global composition scorer beats either alone, confirming the two-branch intuition behind GCAD [1] and recent SOTA. Second, the Region-Aware memory achieves the best structural AUROC (0.81), while the Composition Histogram is comparatively stronger on logical cues — the two are complementary. Third, absolute scores (~0.74 overall) are modest because the handcrafted descriptors carry little semantic information; this is expected and motivates the upgrade path below.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2933700"/>
            <wp:effectExtent t="0" r="0" b="0" l="0"/>
            <wp:docPr id="1" name="Qualitative success cases" descr="Qualitative success cases" title="Qualitative success c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2. Qualitative cases (image · ground-truth mask · decision). The detector correctly flags many anomalies but struggles where colour/edge statistics resemble normal images.</w:t>
      </w:r>
    </w:p>
    <w:p>
      <w:pPr>
        <w:pStyle w:val="Heading1"/>
      </w:pPr>
      <w:r>
        <w:t xml:space="preserve">5. Discussion, Limitations and Upgrade Path</w:t>
      </w:r>
    </w:p>
    <w:p>
      <w:pPr>
        <w:spacing w:after="120"/>
        <w:jc w:val="both"/>
      </w:pPr>
      <w:r>
        <w:rPr>
          <w:sz w:val="22"/>
          <w:szCs w:val="22"/>
        </w:rPr>
        <w:t xml:space="preserve">This report is deliberately transparent about scope. The detectors use handcrafted patch statistics, not pretrained backbones, so method names describe the actual computation (e.g. 'Patch-Stat Memory', not 'PatchCore'). The single most impactful improvement is to replace the descriptors with frozen DINOv2 patch tokens [4] while keeping the identical two-branch + fusion architecture; on this benchmark, foundation-model features are the dominant driver of accuracy and are expected to lift results substantially toward GCAD/EfficientAD territory (0.83–0.90) [1,3]. Component-segmentation methods such as CSAD [2] and SALAD [5] reach 0.95–0.96 by explicitly modelling object parts. Other limitations: results are single-seed, and we report image-level AUROC only; the official LOCO localisation metric (sPRO/AUPRO) and multi-seed confidence intervals are planned next.</w:t>
      </w:r>
    </w:p>
    <w:p>
      <w:pPr>
        <w:spacing w:after="120"/>
        <w:jc w:val="both"/>
      </w:pPr>
      <w:r>
        <w:rPr>
          <w:sz w:val="22"/>
          <w:szCs w:val="22"/>
        </w:rPr>
        <w:t xml:space="preserve">Honest positioning vs. the state of the art: our goal is a lightweight, fully reproducible, well-audited baseline with clear failure analysis and an interactive dashboard — not to beat component-segmentation SOTA. The reproducibility package (read-only raw policy, hashing-based leakage detection, letterbox metadata, environment capture) is itself a contribution that many published pipelines lack.</w:t>
      </w:r>
    </w:p>
    <w:p>
      <w:pPr>
        <w:pStyle w:val="Heading1"/>
      </w:pPr>
      <w:r>
        <w:t xml:space="preserve">6. Reproducibility</w:t>
      </w:r>
    </w:p>
    <w:p>
      <w:pPr>
        <w:spacing w:after="120"/>
        <w:jc w:val="both"/>
      </w:pPr>
      <w:r>
        <w:rPr>
          <w:sz w:val="22"/>
          <w:szCs w:val="22"/>
        </w:rPr>
        <w:t xml:space="preserve">Fixed seeds (Python/NumPy/Torch); deterministic preprocessing with saved per-image resize metadata; MD5 + average-hash leakage audit across splits; environment and dependency freeze; per-method JSON configs; and a single manifest/zip export. The interactive dashboard (dashboard.html) presents the EDA, leaderboard, and per-image explainability used in this report and opens in any browser with no installation.</w:t>
      </w:r>
    </w:p>
    <w:p>
      <w:pPr>
        <w:pStyle w:val="Heading1"/>
      </w:pPr>
      <w:r>
        <w:t xml:space="preserve">References</w:t>
      </w:r>
    </w:p>
    <w:p>
      <w:pPr>
        <w:spacing w:after="60"/>
      </w:pPr>
      <w:r>
        <w:rPr>
          <w:b/>
          <w:bCs/>
          <w:sz w:val="19"/>
          <w:szCs w:val="19"/>
        </w:rPr>
        <w:t xml:space="preserve">[1] </w:t>
      </w:r>
      <w:r>
        <w:rPr>
          <w:sz w:val="19"/>
          <w:szCs w:val="19"/>
        </w:rPr>
        <w:t xml:space="preserve">Bergmann, Batzner, Fauser, Sattlegger, Steger. Beyond Dents and Scratches: Logical Constraints in Unsupervised Anomaly Detection and Localization (MVTec LOCO AD; GCAD). IJCV, 2022.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[2] </w:t>
      </w:r>
      <w:r>
        <w:rPr>
          <w:sz w:val="19"/>
          <w:szCs w:val="19"/>
        </w:rPr>
        <w:t xml:space="preserve">Hsieh et al. CSAD: Unsupervised Component Segmentation for Logical Anomaly Detection. BMVC, 2024. (95.3% AUROC)</w:t>
      </w:r>
    </w:p>
    <w:p>
      <w:pPr>
        <w:spacing w:after="60"/>
      </w:pPr>
      <w:r>
        <w:rPr>
          <w:b/>
          <w:bCs/>
          <w:sz w:val="19"/>
          <w:szCs w:val="19"/>
        </w:rPr>
        <w:t xml:space="preserve">[3] </w:t>
      </w:r>
      <w:r>
        <w:rPr>
          <w:sz w:val="19"/>
          <w:szCs w:val="19"/>
        </w:rPr>
        <w:t xml:space="preserve">Batzner et al. EfficientAD: Accurate Visual Anomaly Detection at Millisecond-Level Latencies. WACV, 2024.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[4] </w:t>
      </w:r>
      <w:r>
        <w:rPr>
          <w:sz w:val="19"/>
          <w:szCs w:val="19"/>
        </w:rPr>
        <w:t xml:space="preserve">Damm et al. AnomalyDINO: Boosting Patch-based Few-shot Anomaly Detection with DINOv2. WACV, 2025.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[5] </w:t>
      </w:r>
      <w:r>
        <w:rPr>
          <w:sz w:val="19"/>
          <w:szCs w:val="19"/>
        </w:rPr>
        <w:t xml:space="preserve">Fučka et al. SALAD: Semantics-Aware Logical Anomaly Detection. ICCV, 2025. (96.1% AUROC)</w:t>
      </w:r>
    </w:p>
    <w:sectPr>
      <w:footerReference w:type="default" r:id="rId7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Project A — MVTec LOCO Anomaly Detection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43cef934b5b460ceb1225f3e9758e74c5491b7f.png"/><Relationship Id="rId9" Type="http://schemas.openxmlformats.org/officeDocument/2006/relationships/image" Target="media/469af4f178d1257e8b8591a59a1237b07cf4c85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2026-06-01T19:01:38.347Z</dcterms:created>
  <dcterms:modified xsi:type="dcterms:W3CDTF">2026-06-01T19:01:38.347Z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