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Mask-View Spatiotemporal Imputation for Block-Missing Water-Quality Monitoring Networks: A Dianchi Lake Basin Benchmark</w:t>
      </w:r>
    </w:p>
    <w:p>
      <w:pPr>
        <w:spacing w:after="120" w:line="276" w:lineRule="auto"/>
        <w:jc w:val="center"/>
      </w:pPr>
      <w:r>
        <w:rPr>
          <w:rFonts w:ascii="Times New Roman" w:hAnsi="Times New Roman" w:eastAsia="Times New Roman"/>
          <w:b w:val="0"/>
          <w:i w:val="0"/>
          <w:sz w:val="22"/>
        </w:rPr>
        <w:t>[Author Name 1], [Author Name 2]*</w:t>
      </w:r>
    </w:p>
    <w:p>
      <w:pPr>
        <w:spacing w:after="120" w:line="276" w:lineRule="auto"/>
        <w:jc w:val="center"/>
      </w:pPr>
      <w:r>
        <w:rPr>
          <w:rFonts w:ascii="Times New Roman" w:hAnsi="Times New Roman" w:eastAsia="Times New Roman"/>
          <w:b w:val="0"/>
          <w:i/>
          <w:sz w:val="20"/>
        </w:rPr>
        <w:t>[Affiliation 1]; [Affiliation 2]</w:t>
      </w:r>
    </w:p>
    <w:p>
      <w:pPr>
        <w:spacing w:after="120" w:line="276" w:lineRule="auto"/>
        <w:jc w:val="center"/>
      </w:pPr>
      <w:r>
        <w:rPr>
          <w:rFonts w:ascii="Times New Roman" w:hAnsi="Times New Roman" w:eastAsia="Times New Roman"/>
          <w:b w:val="0"/>
          <w:i/>
          <w:sz w:val="20"/>
        </w:rPr>
        <w:t>*Correspondence: author@institution.edu</w:t>
      </w:r>
    </w:p>
    <w:p>
      <w:pPr>
        <w:spacing w:after="240" w:line="276" w:lineRule="auto"/>
        <w:jc w:val="center"/>
      </w:pPr>
      <w:r>
        <w:rPr>
          <w:rFonts w:ascii="Times New Roman" w:hAnsi="Times New Roman" w:eastAsia="Times New Roman"/>
          <w:b w:val="0"/>
          <w:i/>
          <w:sz w:val="18"/>
        </w:rPr>
        <w:t>Journal: Water (MDPI)  |  Article type: Article</w:t>
      </w:r>
    </w:p>
    <w:p>
      <w:pPr>
        <w:spacing w:before="240" w:after="120" w:line="276" w:lineRule="auto"/>
      </w:pPr>
      <w:r>
        <w:rPr>
          <w:rFonts w:ascii="Times New Roman" w:hAnsi="Times New Roman" w:eastAsia="Times New Roman"/>
          <w:b/>
          <w:i w:val="0"/>
          <w:sz w:val="24"/>
        </w:rPr>
        <w:t>Abstract</w:t>
      </w:r>
    </w:p>
    <w:p>
      <w:pPr>
        <w:spacing w:line="480" w:lineRule="auto"/>
        <w:ind w:firstLine="360"/>
      </w:pPr>
      <w:r>
        <w:rPr>
          <w:rFonts w:ascii="Times New Roman" w:hAnsi="Times New Roman" w:eastAsia="Times New Roman"/>
          <w:b w:val="0"/>
          <w:i w:val="0"/>
          <w:sz w:val="22"/>
        </w:rPr>
        <w:t>High-frequency automatic monitoring is transforming water-quality management, yet records are dominated by block-structured missingness from sensor downtime and station outages. Many imputation benchmarks inject only scattered MCAR holes and therefore overestimate the value of simple temporal interpolators. We introduce Mask-View, a multi-pattern augmentation that trains spatiotemporal imputers on complementary operational failure modes—point, block_time, sensor, station and mixed masks—using reconstruction and cross-view consistency objectives. Built on a MixHop graph neural network with temporal attention and mask-aware neighbor aggregation (MaskView-ST), the method is evaluated on the open Dianchi-Water dataset (22 stations, nine variables, 4-hourly, 2022–2024; ~19.8% natural missingness). Against Mean, LOCF, Linear, SAITS, BRITS and a graph baseline (GRIN*), MaskView-ST achieves the best average standardized MAE (0.3884) and DO MAE (0.4803) over a 5×3 pattern–rate grid. A spatial upgrade with denser connectivity and λ_cons = 0 (spatial_plus_l0) further improves overall MAE to 0.3805 and surpasses BRITS on sensor dropout. Ablations show that point-only training collapses under sensor/station failures and that strong consistency weights hurt average accuracy. The study frames machine learning as early-warning information value under realistic missingness rather than architectural novelty alone.</w:t>
      </w:r>
    </w:p>
    <w:p>
      <w:pPr>
        <w:spacing w:before="240" w:after="120" w:line="276" w:lineRule="auto"/>
      </w:pPr>
      <w:r>
        <w:rPr>
          <w:rFonts w:ascii="Times New Roman" w:hAnsi="Times New Roman" w:eastAsia="Times New Roman"/>
          <w:b/>
          <w:i w:val="0"/>
          <w:sz w:val="24"/>
        </w:rPr>
        <w:t>Keywords</w:t>
      </w:r>
    </w:p>
    <w:p>
      <w:r>
        <w:rPr>
          <w:rFonts w:ascii="Times New Roman" w:hAnsi="Times New Roman" w:eastAsia="Times New Roman"/>
          <w:b w:val="0"/>
          <w:i w:val="0"/>
          <w:sz w:val="22"/>
        </w:rPr>
        <w:t>water quality; missing data; spatiotemporal imputation; Mask-View; graph neural network; Dianchi Lake; dissolved oxygen; automatic monitoring; SAITS; BRITS</w:t>
      </w:r>
    </w:p>
    <w:p>
      <w:pPr>
        <w:spacing w:before="240" w:after="120" w:line="276" w:lineRule="auto"/>
      </w:pPr>
      <w:r>
        <w:rPr>
          <w:rFonts w:ascii="Times New Roman" w:hAnsi="Times New Roman" w:eastAsia="Times New Roman"/>
          <w:b/>
          <w:i w:val="0"/>
          <w:sz w:val="24"/>
        </w:rPr>
        <w:t>1. Introduction</w:t>
      </w:r>
    </w:p>
    <w:p>
      <w:pPr>
        <w:spacing w:line="480" w:lineRule="auto"/>
        <w:ind w:firstLine="360"/>
      </w:pPr>
      <w:r>
        <w:rPr>
          <w:rFonts w:ascii="Times New Roman" w:hAnsi="Times New Roman" w:eastAsia="Times New Roman"/>
          <w:b w:val="0"/>
          <w:i w:val="0"/>
          <w:sz w:val="22"/>
        </w:rPr>
        <w:t>Dissolved oxygen (DO), nutrients and related physicochemical indicators are central to assessing eutrophication risk and ecological status in lakes and inflow rivers. National automatic monitoring networks now deliver multi-parameter series at sub-daily resolution, creating opportunities for short-range forecasting and hypoxia early warning. In practice, however, these series are incomplete: instruments fail, stations go offline and variables drop out in contiguous blocks. On the Dianchi open release, the natural missing rate on a full 4 h grid is about 19.8%, and missingness is predominantly block-structured.</w:t>
      </w:r>
    </w:p>
    <w:p>
      <w:pPr>
        <w:spacing w:line="480" w:lineRule="auto"/>
        <w:ind w:firstLine="360"/>
      </w:pPr>
      <w:r>
        <w:rPr>
          <w:rFonts w:ascii="Times New Roman" w:hAnsi="Times New Roman" w:eastAsia="Times New Roman"/>
          <w:b w:val="0"/>
          <w:i w:val="0"/>
          <w:sz w:val="22"/>
        </w:rPr>
        <w:t>Deep imputation models such as BRITS, SAITS and diffusion-based approaches have advanced generic time-series completion, while graph models exploit spatial dependence among sensors. Yet evaluation protocols that only hide random cells systematically favor last-observation and linear interpolators, which are strong when gaps are short. For automatic water-quality networks the decisive failure modes are temporal slabs, single-parameter outages and whole station blackouts—settings in which purely local temporal continuity is insufficient.</w:t>
      </w:r>
    </w:p>
    <w:p>
      <w:pPr>
        <w:spacing w:line="480" w:lineRule="auto"/>
        <w:ind w:firstLine="360"/>
      </w:pPr>
      <w:r>
        <w:rPr>
          <w:rFonts w:ascii="Times New Roman" w:hAnsi="Times New Roman" w:eastAsia="Times New Roman"/>
          <w:b w:val="0"/>
          <w:i w:val="0"/>
          <w:sz w:val="22"/>
        </w:rPr>
        <w:t>This paper makes three contributions. First, we propose Mask-View, a training augmentation that samples multiple complementary masks from an operational pattern bank and optimizes reconstruction on artificially hidden but originally observed cells, optionally with cross-view consistency. Second, we instantiate MaskView-ST, a MixHop spatiotemporal imputer with temporal attention and mask-aware spatial aggregation on a station distance graph. Third, we release a reproducible Dianchi benchmark comparing classical and deep baselines under five patterns and three missing rates, with ablations on consistency weight, pattern bank composition and spatial capacity. We intentionally avoid claiming a new universal architecture; the scientific claim is conditional information value under realistic missingness.</w:t>
      </w:r>
    </w:p>
    <w:p>
      <w:pPr>
        <w:spacing w:before="240" w:after="120" w:line="276" w:lineRule="auto"/>
      </w:pPr>
      <w:r>
        <w:rPr>
          <w:rFonts w:ascii="Times New Roman" w:hAnsi="Times New Roman" w:eastAsia="Times New Roman"/>
          <w:b/>
          <w:i w:val="0"/>
          <w:sz w:val="24"/>
        </w:rPr>
        <w:t>2. Materials and Methods</w:t>
      </w:r>
    </w:p>
    <w:p>
      <w:pPr>
        <w:spacing w:before="240" w:after="120" w:line="276" w:lineRule="auto"/>
      </w:pPr>
      <w:r>
        <w:rPr>
          <w:rFonts w:ascii="Times New Roman" w:hAnsi="Times New Roman" w:eastAsia="Times New Roman"/>
          <w:b/>
          <w:i w:val="0"/>
          <w:sz w:val="22"/>
        </w:rPr>
        <w:t>2.1. Study Area and Dataset</w:t>
      </w:r>
    </w:p>
    <w:p>
      <w:pPr>
        <w:spacing w:line="480" w:lineRule="auto"/>
        <w:ind w:firstLine="360"/>
      </w:pPr>
      <w:r>
        <w:rPr>
          <w:rFonts w:ascii="Times New Roman" w:hAnsi="Times New Roman" w:eastAsia="Times New Roman"/>
          <w:b w:val="0"/>
          <w:i w:val="0"/>
          <w:sz w:val="22"/>
        </w:rPr>
        <w:t>We use the open Dianchi-Water dataset covering the Dianchi Lake basin (Kunming, Yunnan, China). The release provides 4-hourly observations from 22 automatic stations for 2022–2024 with nine variables: water temperature (TEM), pH, DO, electrical conductivity (CON), turbidity (NTU), permanganate index (IMN), ammonia nitrogen (NH3-N), total phosphorus (TP) and total nitrogen (TN). A pairwise Haversine distance matrix supports spatial graph construction. Data are available on Hugging Face (anonymous-dianchi-2026/dianchi-water; CC BY 4.0).</w:t>
      </w:r>
    </w:p>
    <w:p>
      <w:pPr>
        <w:spacing w:before="240" w:after="120" w:line="276" w:lineRule="auto"/>
      </w:pPr>
      <w:r>
        <w:rPr>
          <w:rFonts w:ascii="Times New Roman" w:hAnsi="Times New Roman" w:eastAsia="Times New Roman"/>
          <w:b/>
          <w:i w:val="0"/>
          <w:sz w:val="22"/>
        </w:rPr>
        <w:t>2.2. Panel Construction, Windows and Split</w:t>
      </w:r>
    </w:p>
    <w:p>
      <w:pPr>
        <w:spacing w:line="480" w:lineRule="auto"/>
        <w:ind w:firstLine="360"/>
      </w:pPr>
      <w:r>
        <w:rPr>
          <w:rFonts w:ascii="Times New Roman" w:hAnsi="Times New Roman" w:eastAsia="Times New Roman"/>
          <w:b w:val="0"/>
          <w:i w:val="0"/>
          <w:sz w:val="22"/>
        </w:rPr>
        <w:t>Observations are aligned to a regular 4 h grid, yielding a tensor X ∈ R^{T×N×D} (N = 22, D = 9) with binary observation mask M. Sliding windows of length L = 36 (6 days) and stride 18 form training samples. Temporal split without leakage: train ≤ 2023-06-30, validation July–December 2023, test year 2024. Features are standardized using training-set statistics on observed cells. Multivariate metrics are reported in standardized space to avoid domination by high-magnitude channels; DO-specific scores are reported separately.</w:t>
      </w:r>
    </w:p>
    <w:p>
      <w:pPr>
        <w:spacing w:before="240" w:after="120" w:line="276" w:lineRule="auto"/>
      </w:pPr>
      <w:r>
        <w:rPr>
          <w:rFonts w:ascii="Times New Roman" w:hAnsi="Times New Roman" w:eastAsia="Times New Roman"/>
          <w:b/>
          <w:i w:val="0"/>
          <w:sz w:val="22"/>
        </w:rPr>
        <w:t>2.3. Spatial Graph</w:t>
      </w:r>
    </w:p>
    <w:p>
      <w:pPr>
        <w:spacing w:line="480" w:lineRule="auto"/>
        <w:ind w:firstLine="360"/>
      </w:pPr>
      <w:r>
        <w:rPr>
          <w:rFonts w:ascii="Times New Roman" w:hAnsi="Times New Roman" w:eastAsia="Times New Roman"/>
          <w:b w:val="0"/>
          <w:i w:val="0"/>
          <w:sz w:val="22"/>
        </w:rPr>
        <w:t>From pairwise distances we build a k-nearest-neighbor Gaussian adjacency (default upgraded setting k = 8, cutoff 60 km, bandwidth σ = 20 km), symmetrize and row-normalize it, and retain self-loops. MaskView-ST aggregates both 1-hop and 2-hop neighborhoods (MixHop) and optionally reweights neighbors by their instantaneous observation rates (mask-aware aggregation).</w:t>
      </w:r>
    </w:p>
    <w:p>
      <w:pPr>
        <w:spacing w:before="240" w:after="120" w:line="276" w:lineRule="auto"/>
      </w:pPr>
      <w:r>
        <w:rPr>
          <w:rFonts w:ascii="Times New Roman" w:hAnsi="Times New Roman" w:eastAsia="Times New Roman"/>
          <w:b/>
          <w:i w:val="0"/>
          <w:sz w:val="22"/>
        </w:rPr>
        <w:t>2.4. Mask-View Augmentation</w:t>
      </w:r>
    </w:p>
    <w:p>
      <w:pPr>
        <w:spacing w:line="480" w:lineRule="auto"/>
        <w:ind w:firstLine="360"/>
      </w:pPr>
      <w:r>
        <w:rPr>
          <w:rFonts w:ascii="Times New Roman" w:hAnsi="Times New Roman" w:eastAsia="Times New Roman"/>
          <w:b w:val="0"/>
          <w:i w:val="0"/>
          <w:sz w:val="22"/>
        </w:rPr>
        <w:t>For each window we sample K = 3 artificial keep-masks from a pattern bank: point (MCAR), block_time (consecutive downtime slabs), sensor (variable dropout), station (station outage) and mixed compositions. Training draws the artificial ratio from U[0.15, 0.35]; evaluation uses fixed ratios r ∈ {0.1, 0.2, 0.3}. Let A^(k) be the keep-mask of view k and M^(k) = M ⊙ A^(k). The reconstruction loss averages L1 error on originally observed cells that were artificially hidden. Cross-view consistency compares raw decoder outputs on originally observed cells across views with weight λ_cons. Important implementation detail: consistency must be applied to decoder predictions, not to blended imputations that copy inputs on visible cells (otherwise λ_cons is effectively inactive).</w:t>
      </w:r>
    </w:p>
    <w:p>
      <w:pPr>
        <w:spacing w:before="240" w:after="120" w:line="276" w:lineRule="auto"/>
      </w:pPr>
      <w:r>
        <w:rPr>
          <w:rFonts w:ascii="Times New Roman" w:hAnsi="Times New Roman" w:eastAsia="Times New Roman"/>
          <w:b/>
          <w:i w:val="0"/>
          <w:sz w:val="22"/>
        </w:rPr>
        <w:t>2.5. MaskView-ST Architecture</w:t>
      </w:r>
    </w:p>
    <w:p>
      <w:pPr>
        <w:spacing w:line="480" w:lineRule="auto"/>
        <w:ind w:firstLine="360"/>
      </w:pPr>
      <w:r>
        <w:rPr>
          <w:rFonts w:ascii="Times New Roman" w:hAnsi="Times New Roman" w:eastAsia="Times New Roman"/>
          <w:b w:val="0"/>
          <w:i w:val="0"/>
          <w:sz w:val="22"/>
        </w:rPr>
        <w:t>Inputs concatenate standardized values and the current mask (2D channels). Stacked spatiotemporal blocks apply MixHop graph convolution followed by multi-head temporal self-attention per station. An MLP decoder predicts all variables. At inference, observed entries are kept and missing or artificially hidden entries are replaced by predictions. Default capacity for the upgraded recipe (spatial_plus_l0): hidden size 64, three layers, four heads, AdamW learning rate 1×10⁻³, λ_cons = 0, station-pattern upsampling during training.</w:t>
      </w:r>
    </w:p>
    <w:p>
      <w:pPr>
        <w:spacing w:before="240" w:after="120" w:line="276" w:lineRule="auto"/>
      </w:pPr>
      <w:r>
        <w:rPr>
          <w:rFonts w:ascii="Times New Roman" w:hAnsi="Times New Roman" w:eastAsia="Times New Roman"/>
          <w:b/>
          <w:i w:val="0"/>
          <w:sz w:val="22"/>
        </w:rPr>
        <w:t>2.6. Baselines and Evaluation Protocol</w:t>
      </w:r>
    </w:p>
    <w:p>
      <w:pPr>
        <w:spacing w:line="480" w:lineRule="auto"/>
        <w:ind w:firstLine="360"/>
      </w:pPr>
      <w:r>
        <w:rPr>
          <w:rFonts w:ascii="Times New Roman" w:hAnsi="Times New Roman" w:eastAsia="Times New Roman"/>
          <w:b w:val="0"/>
          <w:i w:val="0"/>
          <w:sz w:val="22"/>
        </w:rPr>
        <w:t>Baselines include Mean, LOCF, Linear interpolation (per station–variable), SAITS, BRITS and StemGNN reported as GRIN* (official GRIN is unavailable in PyPOTS 1.5). Deep baselines are fit once on training windows and evaluated on every test corruption. Metrics are MAE, RMSE and MAPE on artificially hidden, originally observed cells, plus DO-specific MAE/RMSE.</w:t>
      </w:r>
    </w:p>
    <w:p>
      <w:pPr>
        <w:spacing w:before="240" w:after="120" w:line="276" w:lineRule="auto"/>
      </w:pPr>
      <w:r>
        <w:rPr>
          <w:rFonts w:ascii="Times New Roman" w:hAnsi="Times New Roman" w:eastAsia="Times New Roman"/>
          <w:b/>
          <w:i w:val="0"/>
          <w:sz w:val="24"/>
        </w:rPr>
        <w:t>3. Results</w:t>
      </w:r>
    </w:p>
    <w:p>
      <w:pPr>
        <w:spacing w:before="240" w:after="120" w:line="276" w:lineRule="auto"/>
      </w:pPr>
      <w:r>
        <w:rPr>
          <w:rFonts w:ascii="Times New Roman" w:hAnsi="Times New Roman" w:eastAsia="Times New Roman"/>
          <w:b/>
          <w:i w:val="0"/>
          <w:sz w:val="22"/>
        </w:rPr>
        <w:t>3.1. Full Benchmark Grid</w:t>
      </w:r>
    </w:p>
    <w:p>
      <w:pPr>
        <w:spacing w:line="480" w:lineRule="auto"/>
        <w:ind w:firstLine="360"/>
      </w:pPr>
      <w:r>
        <w:rPr>
          <w:rFonts w:ascii="Times New Roman" w:hAnsi="Times New Roman" w:eastAsia="Times New Roman"/>
          <w:b w:val="0"/>
          <w:i w:val="0"/>
          <w:sz w:val="22"/>
        </w:rPr>
        <w:t>The completed comparison covers 105 model–setting rows (7 models × 5 patterns × 3 rates). Mean standardized MAE ranks MaskView-ST first (0.3884), followed by Linear (0.4106) and BRITS (0.4338). On hard patterns (block_time/sensor/station/mixed), MaskView-ST likewise leads. Linear wins the largest number of individual easy settings (short point gaps), confirming that temporal interpolators remain a strong reference when missingness is local.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8"/>
              </w:rPr>
              <w:t>Model</w:t>
            </w:r>
          </w:p>
        </w:tc>
        <w:tc>
          <w:tcPr>
            <w:tcW w:type="dxa" w:w="1440"/>
          </w:tcPr>
          <w:p>
            <w:r/>
            <w:r>
              <w:rPr>
                <w:rFonts w:ascii="Times New Roman" w:hAnsi="Times New Roman" w:eastAsia="Times New Roman"/>
                <w:b/>
                <w:i w:val="0"/>
                <w:sz w:val="18"/>
              </w:rPr>
              <w:t>point</w:t>
            </w:r>
          </w:p>
        </w:tc>
        <w:tc>
          <w:tcPr>
            <w:tcW w:type="dxa" w:w="1440"/>
          </w:tcPr>
          <w:p>
            <w:r/>
            <w:r>
              <w:rPr>
                <w:rFonts w:ascii="Times New Roman" w:hAnsi="Times New Roman" w:eastAsia="Times New Roman"/>
                <w:b/>
                <w:i w:val="0"/>
                <w:sz w:val="18"/>
              </w:rPr>
              <w:t>block_time</w:t>
            </w:r>
          </w:p>
        </w:tc>
        <w:tc>
          <w:tcPr>
            <w:tcW w:type="dxa" w:w="1440"/>
          </w:tcPr>
          <w:p>
            <w:r/>
            <w:r>
              <w:rPr>
                <w:rFonts w:ascii="Times New Roman" w:hAnsi="Times New Roman" w:eastAsia="Times New Roman"/>
                <w:b/>
                <w:i w:val="0"/>
                <w:sz w:val="18"/>
              </w:rPr>
              <w:t>sensor</w:t>
            </w:r>
          </w:p>
        </w:tc>
        <w:tc>
          <w:tcPr>
            <w:tcW w:type="dxa" w:w="1440"/>
          </w:tcPr>
          <w:p>
            <w:r/>
            <w:r>
              <w:rPr>
                <w:rFonts w:ascii="Times New Roman" w:hAnsi="Times New Roman" w:eastAsia="Times New Roman"/>
                <w:b/>
                <w:i w:val="0"/>
                <w:sz w:val="18"/>
              </w:rPr>
              <w:t>station</w:t>
            </w:r>
          </w:p>
        </w:tc>
        <w:tc>
          <w:tcPr>
            <w:tcW w:type="dxa" w:w="1440"/>
          </w:tcPr>
          <w:p>
            <w:r/>
            <w:r>
              <w:rPr>
                <w:rFonts w:ascii="Times New Roman" w:hAnsi="Times New Roman" w:eastAsia="Times New Roman"/>
                <w:b/>
                <w:i w:val="0"/>
                <w:sz w:val="18"/>
              </w:rPr>
              <w:t>mixed</w:t>
            </w:r>
          </w:p>
        </w:tc>
      </w:tr>
      <w:tr>
        <w:tc>
          <w:tcPr>
            <w:tcW w:type="dxa" w:w="1440"/>
          </w:tcPr>
          <w:p>
            <w:r/>
            <w:r>
              <w:rPr>
                <w:rFonts w:ascii="Times New Roman" w:hAnsi="Times New Roman" w:eastAsia="Times New Roman"/>
                <w:b w:val="0"/>
                <w:i w:val="0"/>
                <w:sz w:val="18"/>
              </w:rPr>
              <w:t>Mean</w:t>
            </w:r>
          </w:p>
        </w:tc>
        <w:tc>
          <w:tcPr>
            <w:tcW w:type="dxa" w:w="1440"/>
          </w:tcPr>
          <w:p>
            <w:r/>
            <w:r>
              <w:rPr>
                <w:rFonts w:ascii="Times New Roman" w:hAnsi="Times New Roman" w:eastAsia="Times New Roman"/>
                <w:b w:val="0"/>
                <w:i w:val="0"/>
                <w:sz w:val="18"/>
              </w:rPr>
              <w:t>0.6867</w:t>
            </w:r>
          </w:p>
        </w:tc>
        <w:tc>
          <w:tcPr>
            <w:tcW w:type="dxa" w:w="1440"/>
          </w:tcPr>
          <w:p>
            <w:r/>
            <w:r>
              <w:rPr>
                <w:rFonts w:ascii="Times New Roman" w:hAnsi="Times New Roman" w:eastAsia="Times New Roman"/>
                <w:b w:val="0"/>
                <w:i w:val="0"/>
                <w:sz w:val="18"/>
              </w:rPr>
              <w:t>0.6863</w:t>
            </w:r>
          </w:p>
        </w:tc>
        <w:tc>
          <w:tcPr>
            <w:tcW w:type="dxa" w:w="1440"/>
          </w:tcPr>
          <w:p>
            <w:r/>
            <w:r>
              <w:rPr>
                <w:rFonts w:ascii="Times New Roman" w:hAnsi="Times New Roman" w:eastAsia="Times New Roman"/>
                <w:b w:val="0"/>
                <w:i w:val="0"/>
                <w:sz w:val="18"/>
              </w:rPr>
              <w:t>0.6861</w:t>
            </w:r>
          </w:p>
        </w:tc>
        <w:tc>
          <w:tcPr>
            <w:tcW w:type="dxa" w:w="1440"/>
          </w:tcPr>
          <w:p>
            <w:r/>
            <w:r>
              <w:rPr>
                <w:rFonts w:ascii="Times New Roman" w:hAnsi="Times New Roman" w:eastAsia="Times New Roman"/>
                <w:b w:val="0"/>
                <w:i w:val="0"/>
                <w:sz w:val="18"/>
              </w:rPr>
              <w:t>0.6729</w:t>
            </w:r>
          </w:p>
        </w:tc>
        <w:tc>
          <w:tcPr>
            <w:tcW w:type="dxa" w:w="1440"/>
          </w:tcPr>
          <w:p>
            <w:r/>
            <w:r>
              <w:rPr>
                <w:rFonts w:ascii="Times New Roman" w:hAnsi="Times New Roman" w:eastAsia="Times New Roman"/>
                <w:b w:val="0"/>
                <w:i w:val="0"/>
                <w:sz w:val="18"/>
              </w:rPr>
              <w:t>0.6830</w:t>
            </w:r>
          </w:p>
        </w:tc>
      </w:tr>
      <w:tr>
        <w:tc>
          <w:tcPr>
            <w:tcW w:type="dxa" w:w="1440"/>
          </w:tcPr>
          <w:p>
            <w:r/>
            <w:r>
              <w:rPr>
                <w:rFonts w:ascii="Times New Roman" w:hAnsi="Times New Roman" w:eastAsia="Times New Roman"/>
                <w:b w:val="0"/>
                <w:i w:val="0"/>
                <w:sz w:val="18"/>
              </w:rPr>
              <w:t>LOCF</w:t>
            </w:r>
          </w:p>
        </w:tc>
        <w:tc>
          <w:tcPr>
            <w:tcW w:type="dxa" w:w="1440"/>
          </w:tcPr>
          <w:p>
            <w:r/>
            <w:r>
              <w:rPr>
                <w:rFonts w:ascii="Times New Roman" w:hAnsi="Times New Roman" w:eastAsia="Times New Roman"/>
                <w:b w:val="0"/>
                <w:i w:val="0"/>
                <w:sz w:val="18"/>
              </w:rPr>
              <w:t>0.2058</w:t>
            </w:r>
          </w:p>
        </w:tc>
        <w:tc>
          <w:tcPr>
            <w:tcW w:type="dxa" w:w="1440"/>
          </w:tcPr>
          <w:p>
            <w:r/>
            <w:r>
              <w:rPr>
                <w:rFonts w:ascii="Times New Roman" w:hAnsi="Times New Roman" w:eastAsia="Times New Roman"/>
                <w:b w:val="0"/>
                <w:i w:val="0"/>
                <w:sz w:val="18"/>
              </w:rPr>
              <w:t>0.2905</w:t>
            </w:r>
          </w:p>
        </w:tc>
        <w:tc>
          <w:tcPr>
            <w:tcW w:type="dxa" w:w="1440"/>
          </w:tcPr>
          <w:p>
            <w:r/>
            <w:r>
              <w:rPr>
                <w:rFonts w:ascii="Times New Roman" w:hAnsi="Times New Roman" w:eastAsia="Times New Roman"/>
                <w:b w:val="0"/>
                <w:i w:val="0"/>
                <w:sz w:val="18"/>
              </w:rPr>
              <w:t>0.6957</w:t>
            </w:r>
          </w:p>
        </w:tc>
        <w:tc>
          <w:tcPr>
            <w:tcW w:type="dxa" w:w="1440"/>
          </w:tcPr>
          <w:p>
            <w:r/>
            <w:r>
              <w:rPr>
                <w:rFonts w:ascii="Times New Roman" w:hAnsi="Times New Roman" w:eastAsia="Times New Roman"/>
                <w:b w:val="0"/>
                <w:i w:val="0"/>
                <w:sz w:val="18"/>
              </w:rPr>
              <w:t>0.6786</w:t>
            </w:r>
          </w:p>
        </w:tc>
        <w:tc>
          <w:tcPr>
            <w:tcW w:type="dxa" w:w="1440"/>
          </w:tcPr>
          <w:p>
            <w:r/>
            <w:r>
              <w:rPr>
                <w:rFonts w:ascii="Times New Roman" w:hAnsi="Times New Roman" w:eastAsia="Times New Roman"/>
                <w:b w:val="0"/>
                <w:i w:val="0"/>
                <w:sz w:val="18"/>
              </w:rPr>
              <w:t>0.2990</w:t>
            </w:r>
          </w:p>
        </w:tc>
      </w:tr>
      <w:tr>
        <w:tc>
          <w:tcPr>
            <w:tcW w:type="dxa" w:w="1440"/>
          </w:tcPr>
          <w:p>
            <w:r/>
            <w:r>
              <w:rPr>
                <w:rFonts w:ascii="Times New Roman" w:hAnsi="Times New Roman" w:eastAsia="Times New Roman"/>
                <w:b w:val="0"/>
                <w:i w:val="0"/>
                <w:sz w:val="18"/>
              </w:rPr>
              <w:t>Linear</w:t>
            </w:r>
          </w:p>
        </w:tc>
        <w:tc>
          <w:tcPr>
            <w:tcW w:type="dxa" w:w="1440"/>
          </w:tcPr>
          <w:p>
            <w:r/>
            <w:r>
              <w:rPr>
                <w:rFonts w:ascii="Times New Roman" w:hAnsi="Times New Roman" w:eastAsia="Times New Roman"/>
                <w:b w:val="0"/>
                <w:i w:val="0"/>
                <w:sz w:val="18"/>
              </w:rPr>
              <w:t>0.1611</w:t>
            </w:r>
          </w:p>
        </w:tc>
        <w:tc>
          <w:tcPr>
            <w:tcW w:type="dxa" w:w="1440"/>
          </w:tcPr>
          <w:p>
            <w:r/>
            <w:r>
              <w:rPr>
                <w:rFonts w:ascii="Times New Roman" w:hAnsi="Times New Roman" w:eastAsia="Times New Roman"/>
                <w:b w:val="0"/>
                <w:i w:val="0"/>
                <w:sz w:val="18"/>
              </w:rPr>
              <w:t>0.2538</w:t>
            </w:r>
          </w:p>
        </w:tc>
        <w:tc>
          <w:tcPr>
            <w:tcW w:type="dxa" w:w="1440"/>
          </w:tcPr>
          <w:p>
            <w:r/>
            <w:r>
              <w:rPr>
                <w:rFonts w:ascii="Times New Roman" w:hAnsi="Times New Roman" w:eastAsia="Times New Roman"/>
                <w:b w:val="0"/>
                <w:i w:val="0"/>
                <w:sz w:val="18"/>
              </w:rPr>
              <w:t>0.6957</w:t>
            </w:r>
          </w:p>
        </w:tc>
        <w:tc>
          <w:tcPr>
            <w:tcW w:type="dxa" w:w="1440"/>
          </w:tcPr>
          <w:p>
            <w:r/>
            <w:r>
              <w:rPr>
                <w:rFonts w:ascii="Times New Roman" w:hAnsi="Times New Roman" w:eastAsia="Times New Roman"/>
                <w:b w:val="0"/>
                <w:i w:val="0"/>
                <w:sz w:val="18"/>
              </w:rPr>
              <w:t>0.6786</w:t>
            </w:r>
          </w:p>
        </w:tc>
        <w:tc>
          <w:tcPr>
            <w:tcW w:type="dxa" w:w="1440"/>
          </w:tcPr>
          <w:p>
            <w:r/>
            <w:r>
              <w:rPr>
                <w:rFonts w:ascii="Times New Roman" w:hAnsi="Times New Roman" w:eastAsia="Times New Roman"/>
                <w:b w:val="0"/>
                <w:i w:val="0"/>
                <w:sz w:val="18"/>
              </w:rPr>
              <w:t>0.2636</w:t>
            </w:r>
          </w:p>
        </w:tc>
      </w:tr>
      <w:tr>
        <w:tc>
          <w:tcPr>
            <w:tcW w:type="dxa" w:w="1440"/>
          </w:tcPr>
          <w:p>
            <w:r/>
            <w:r>
              <w:rPr>
                <w:rFonts w:ascii="Times New Roman" w:hAnsi="Times New Roman" w:eastAsia="Times New Roman"/>
                <w:b w:val="0"/>
                <w:i w:val="0"/>
                <w:sz w:val="18"/>
              </w:rPr>
              <w:t>SAITS</w:t>
            </w:r>
          </w:p>
        </w:tc>
        <w:tc>
          <w:tcPr>
            <w:tcW w:type="dxa" w:w="1440"/>
          </w:tcPr>
          <w:p>
            <w:r/>
            <w:r>
              <w:rPr>
                <w:rFonts w:ascii="Times New Roman" w:hAnsi="Times New Roman" w:eastAsia="Times New Roman"/>
                <w:b w:val="0"/>
                <w:i w:val="0"/>
                <w:sz w:val="18"/>
              </w:rPr>
              <w:t>0.4455</w:t>
            </w:r>
          </w:p>
        </w:tc>
        <w:tc>
          <w:tcPr>
            <w:tcW w:type="dxa" w:w="1440"/>
          </w:tcPr>
          <w:p>
            <w:r/>
            <w:r>
              <w:rPr>
                <w:rFonts w:ascii="Times New Roman" w:hAnsi="Times New Roman" w:eastAsia="Times New Roman"/>
                <w:b w:val="0"/>
                <w:i w:val="0"/>
                <w:sz w:val="18"/>
              </w:rPr>
              <w:t>0.4509</w:t>
            </w:r>
          </w:p>
        </w:tc>
        <w:tc>
          <w:tcPr>
            <w:tcW w:type="dxa" w:w="1440"/>
          </w:tcPr>
          <w:p>
            <w:r/>
            <w:r>
              <w:rPr>
                <w:rFonts w:ascii="Times New Roman" w:hAnsi="Times New Roman" w:eastAsia="Times New Roman"/>
                <w:b w:val="0"/>
                <w:i w:val="0"/>
                <w:sz w:val="18"/>
              </w:rPr>
              <w:t>0.4492</w:t>
            </w:r>
          </w:p>
        </w:tc>
        <w:tc>
          <w:tcPr>
            <w:tcW w:type="dxa" w:w="1440"/>
          </w:tcPr>
          <w:p>
            <w:r/>
            <w:r>
              <w:rPr>
                <w:rFonts w:ascii="Times New Roman" w:hAnsi="Times New Roman" w:eastAsia="Times New Roman"/>
                <w:b w:val="0"/>
                <w:i w:val="0"/>
                <w:sz w:val="18"/>
              </w:rPr>
              <w:t>0.4436</w:t>
            </w:r>
          </w:p>
        </w:tc>
        <w:tc>
          <w:tcPr>
            <w:tcW w:type="dxa" w:w="1440"/>
          </w:tcPr>
          <w:p>
            <w:r/>
            <w:r>
              <w:rPr>
                <w:rFonts w:ascii="Times New Roman" w:hAnsi="Times New Roman" w:eastAsia="Times New Roman"/>
                <w:b w:val="0"/>
                <w:i w:val="0"/>
                <w:sz w:val="18"/>
              </w:rPr>
              <w:t>0.4453</w:t>
            </w:r>
          </w:p>
        </w:tc>
      </w:tr>
      <w:tr>
        <w:tc>
          <w:tcPr>
            <w:tcW w:type="dxa" w:w="1440"/>
          </w:tcPr>
          <w:p>
            <w:r/>
            <w:r>
              <w:rPr>
                <w:rFonts w:ascii="Times New Roman" w:hAnsi="Times New Roman" w:eastAsia="Times New Roman"/>
                <w:b w:val="0"/>
                <w:i w:val="0"/>
                <w:sz w:val="18"/>
              </w:rPr>
              <w:t>BRITS</w:t>
            </w:r>
          </w:p>
        </w:tc>
        <w:tc>
          <w:tcPr>
            <w:tcW w:type="dxa" w:w="1440"/>
          </w:tcPr>
          <w:p>
            <w:r/>
            <w:r>
              <w:rPr>
                <w:rFonts w:ascii="Times New Roman" w:hAnsi="Times New Roman" w:eastAsia="Times New Roman"/>
                <w:b w:val="0"/>
                <w:i w:val="0"/>
                <w:sz w:val="18"/>
              </w:rPr>
              <w:t>0.4295</w:t>
            </w:r>
          </w:p>
        </w:tc>
        <w:tc>
          <w:tcPr>
            <w:tcW w:type="dxa" w:w="1440"/>
          </w:tcPr>
          <w:p>
            <w:r/>
            <w:r>
              <w:rPr>
                <w:rFonts w:ascii="Times New Roman" w:hAnsi="Times New Roman" w:eastAsia="Times New Roman"/>
                <w:b w:val="0"/>
                <w:i w:val="0"/>
                <w:sz w:val="18"/>
              </w:rPr>
              <w:t>0.4417</w:t>
            </w:r>
          </w:p>
        </w:tc>
        <w:tc>
          <w:tcPr>
            <w:tcW w:type="dxa" w:w="1440"/>
          </w:tcPr>
          <w:p>
            <w:r/>
            <w:r>
              <w:rPr>
                <w:rFonts w:ascii="Times New Roman" w:hAnsi="Times New Roman" w:eastAsia="Times New Roman"/>
                <w:b w:val="0"/>
                <w:i w:val="0"/>
                <w:sz w:val="18"/>
              </w:rPr>
              <w:t>0.4302</w:t>
            </w:r>
          </w:p>
        </w:tc>
        <w:tc>
          <w:tcPr>
            <w:tcW w:type="dxa" w:w="1440"/>
          </w:tcPr>
          <w:p>
            <w:r/>
            <w:r>
              <w:rPr>
                <w:rFonts w:ascii="Times New Roman" w:hAnsi="Times New Roman" w:eastAsia="Times New Roman"/>
                <w:b w:val="0"/>
                <w:i w:val="0"/>
                <w:sz w:val="18"/>
              </w:rPr>
              <w:t>0.4345</w:t>
            </w:r>
          </w:p>
        </w:tc>
        <w:tc>
          <w:tcPr>
            <w:tcW w:type="dxa" w:w="1440"/>
          </w:tcPr>
          <w:p>
            <w:r/>
            <w:r>
              <w:rPr>
                <w:rFonts w:ascii="Times New Roman" w:hAnsi="Times New Roman" w:eastAsia="Times New Roman"/>
                <w:b w:val="0"/>
                <w:i w:val="0"/>
                <w:sz w:val="18"/>
              </w:rPr>
              <w:t>0.4332</w:t>
            </w:r>
          </w:p>
        </w:tc>
      </w:tr>
      <w:tr>
        <w:tc>
          <w:tcPr>
            <w:tcW w:type="dxa" w:w="1440"/>
          </w:tcPr>
          <w:p>
            <w:r/>
            <w:r>
              <w:rPr>
                <w:rFonts w:ascii="Times New Roman" w:hAnsi="Times New Roman" w:eastAsia="Times New Roman"/>
                <w:b w:val="0"/>
                <w:i w:val="0"/>
                <w:sz w:val="18"/>
              </w:rPr>
              <w:t>GRIN*</w:t>
            </w:r>
          </w:p>
        </w:tc>
        <w:tc>
          <w:tcPr>
            <w:tcW w:type="dxa" w:w="1440"/>
          </w:tcPr>
          <w:p>
            <w:r/>
            <w:r>
              <w:rPr>
                <w:rFonts w:ascii="Times New Roman" w:hAnsi="Times New Roman" w:eastAsia="Times New Roman"/>
                <w:b w:val="0"/>
                <w:i w:val="0"/>
                <w:sz w:val="18"/>
              </w:rPr>
              <w:t>0.4593</w:t>
            </w:r>
          </w:p>
        </w:tc>
        <w:tc>
          <w:tcPr>
            <w:tcW w:type="dxa" w:w="1440"/>
          </w:tcPr>
          <w:p>
            <w:r/>
            <w:r>
              <w:rPr>
                <w:rFonts w:ascii="Times New Roman" w:hAnsi="Times New Roman" w:eastAsia="Times New Roman"/>
                <w:b w:val="0"/>
                <w:i w:val="0"/>
                <w:sz w:val="18"/>
              </w:rPr>
              <w:t>0.4634</w:t>
            </w:r>
          </w:p>
        </w:tc>
        <w:tc>
          <w:tcPr>
            <w:tcW w:type="dxa" w:w="1440"/>
          </w:tcPr>
          <w:p>
            <w:r/>
            <w:r>
              <w:rPr>
                <w:rFonts w:ascii="Times New Roman" w:hAnsi="Times New Roman" w:eastAsia="Times New Roman"/>
                <w:b w:val="0"/>
                <w:i w:val="0"/>
                <w:sz w:val="18"/>
              </w:rPr>
              <w:t>0.4593</w:t>
            </w:r>
          </w:p>
        </w:tc>
        <w:tc>
          <w:tcPr>
            <w:tcW w:type="dxa" w:w="1440"/>
          </w:tcPr>
          <w:p>
            <w:r/>
            <w:r>
              <w:rPr>
                <w:rFonts w:ascii="Times New Roman" w:hAnsi="Times New Roman" w:eastAsia="Times New Roman"/>
                <w:b w:val="0"/>
                <w:i w:val="0"/>
                <w:sz w:val="18"/>
              </w:rPr>
              <w:t>0.4571</w:t>
            </w:r>
          </w:p>
        </w:tc>
        <w:tc>
          <w:tcPr>
            <w:tcW w:type="dxa" w:w="1440"/>
          </w:tcPr>
          <w:p>
            <w:r/>
            <w:r>
              <w:rPr>
                <w:rFonts w:ascii="Times New Roman" w:hAnsi="Times New Roman" w:eastAsia="Times New Roman"/>
                <w:b w:val="0"/>
                <w:i w:val="0"/>
                <w:sz w:val="18"/>
              </w:rPr>
              <w:t>0.4565</w:t>
            </w:r>
          </w:p>
        </w:tc>
      </w:tr>
      <w:tr>
        <w:tc>
          <w:tcPr>
            <w:tcW w:type="dxa" w:w="1440"/>
          </w:tcPr>
          <w:p>
            <w:r/>
            <w:r>
              <w:rPr>
                <w:rFonts w:ascii="Times New Roman" w:hAnsi="Times New Roman" w:eastAsia="Times New Roman"/>
                <w:b w:val="0"/>
                <w:i w:val="0"/>
                <w:sz w:val="18"/>
              </w:rPr>
              <w:t>MaskView-ST</w:t>
            </w:r>
          </w:p>
        </w:tc>
        <w:tc>
          <w:tcPr>
            <w:tcW w:type="dxa" w:w="1440"/>
          </w:tcPr>
          <w:p>
            <w:r/>
            <w:r>
              <w:rPr>
                <w:rFonts w:ascii="Times New Roman" w:hAnsi="Times New Roman" w:eastAsia="Times New Roman"/>
                <w:b w:val="0"/>
                <w:i w:val="0"/>
                <w:sz w:val="18"/>
              </w:rPr>
              <w:t>0.2969</w:t>
            </w:r>
          </w:p>
        </w:tc>
        <w:tc>
          <w:tcPr>
            <w:tcW w:type="dxa" w:w="1440"/>
          </w:tcPr>
          <w:p>
            <w:r/>
            <w:r>
              <w:rPr>
                <w:rFonts w:ascii="Times New Roman" w:hAnsi="Times New Roman" w:eastAsia="Times New Roman"/>
                <w:b w:val="0"/>
                <w:i w:val="0"/>
                <w:sz w:val="18"/>
              </w:rPr>
              <w:t>0.3261</w:t>
            </w:r>
          </w:p>
        </w:tc>
        <w:tc>
          <w:tcPr>
            <w:tcW w:type="dxa" w:w="1440"/>
          </w:tcPr>
          <w:p>
            <w:r/>
            <w:r>
              <w:rPr>
                <w:rFonts w:ascii="Times New Roman" w:hAnsi="Times New Roman" w:eastAsia="Times New Roman"/>
                <w:b w:val="0"/>
                <w:i w:val="0"/>
                <w:sz w:val="18"/>
              </w:rPr>
              <w:t>0.4413</w:t>
            </w:r>
          </w:p>
        </w:tc>
        <w:tc>
          <w:tcPr>
            <w:tcW w:type="dxa" w:w="1440"/>
          </w:tcPr>
          <w:p>
            <w:r/>
            <w:r>
              <w:rPr>
                <w:rFonts w:ascii="Times New Roman" w:hAnsi="Times New Roman" w:eastAsia="Times New Roman"/>
                <w:b w:val="0"/>
                <w:i w:val="0"/>
                <w:sz w:val="18"/>
              </w:rPr>
              <w:t>0.5386</w:t>
            </w:r>
          </w:p>
        </w:tc>
        <w:tc>
          <w:tcPr>
            <w:tcW w:type="dxa" w:w="1440"/>
          </w:tcPr>
          <w:p>
            <w:r/>
            <w:r>
              <w:rPr>
                <w:rFonts w:ascii="Times New Roman" w:hAnsi="Times New Roman" w:eastAsia="Times New Roman"/>
                <w:b w:val="0"/>
                <w:i w:val="0"/>
                <w:sz w:val="18"/>
              </w:rPr>
              <w:t>0.3392</w:t>
            </w:r>
          </w:p>
        </w:tc>
      </w:tr>
    </w:tbl>
    <w:p>
      <w:pPr>
        <w:spacing w:before="80" w:after="200"/>
        <w:jc w:val="center"/>
      </w:pPr>
      <w:r>
        <w:rPr>
          <w:rFonts w:ascii="Times New Roman" w:hAnsi="Times New Roman" w:eastAsia="Times New Roman"/>
          <w:b w:val="0"/>
          <w:i w:val="0"/>
          <w:sz w:val="20"/>
        </w:rPr>
        <w:t>Table 1. Pattern-averaged standardized MAE (mean over missing rates 10/20/30%).</w:t>
      </w:r>
    </w:p>
    <w:p>
      <w:pPr>
        <w:spacing w:before="240" w:after="120" w:line="276" w:lineRule="auto"/>
      </w:pPr>
      <w:r>
        <w:rPr>
          <w:rFonts w:ascii="Times New Roman" w:hAnsi="Times New Roman" w:eastAsia="Times New Roman"/>
          <w:b/>
          <w:i w:val="0"/>
          <w:sz w:val="22"/>
        </w:rPr>
        <w:t>3.2. Dissolved Oxygen</w:t>
      </w:r>
    </w:p>
    <w:p>
      <w:pPr>
        <w:spacing w:line="480" w:lineRule="auto"/>
        <w:ind w:firstLine="360"/>
      </w:pPr>
      <w:r>
        <w:rPr>
          <w:rFonts w:ascii="Times New Roman" w:hAnsi="Times New Roman" w:eastAsia="Times New Roman"/>
          <w:b w:val="0"/>
          <w:i w:val="0"/>
          <w:sz w:val="22"/>
        </w:rPr>
        <w:t>DO is the primary operational indicator for hypoxia warning. MaskView-ST achieves the best mean DO MAE (0.4803) versus BRITS (0.5222) and Linear (0.5733). Gains are largest under block and mixed corruptions, where diurnal structure and spatial neighbors provide recoverable signal beyond persistence.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8"/>
              </w:rPr>
              <w:t>Model</w:t>
            </w:r>
          </w:p>
        </w:tc>
        <w:tc>
          <w:tcPr>
            <w:tcW w:type="dxa" w:w="1440"/>
          </w:tcPr>
          <w:p>
            <w:r/>
            <w:r>
              <w:rPr>
                <w:rFonts w:ascii="Times New Roman" w:hAnsi="Times New Roman" w:eastAsia="Times New Roman"/>
                <w:b/>
                <w:i w:val="0"/>
                <w:sz w:val="18"/>
              </w:rPr>
              <w:t>point@20%</w:t>
            </w:r>
          </w:p>
        </w:tc>
        <w:tc>
          <w:tcPr>
            <w:tcW w:type="dxa" w:w="1440"/>
          </w:tcPr>
          <w:p>
            <w:r/>
            <w:r>
              <w:rPr>
                <w:rFonts w:ascii="Times New Roman" w:hAnsi="Times New Roman" w:eastAsia="Times New Roman"/>
                <w:b/>
                <w:i w:val="0"/>
                <w:sz w:val="18"/>
              </w:rPr>
              <w:t>block_time@20%</w:t>
            </w:r>
          </w:p>
        </w:tc>
        <w:tc>
          <w:tcPr>
            <w:tcW w:type="dxa" w:w="1440"/>
          </w:tcPr>
          <w:p>
            <w:r/>
            <w:r>
              <w:rPr>
                <w:rFonts w:ascii="Times New Roman" w:hAnsi="Times New Roman" w:eastAsia="Times New Roman"/>
                <w:b/>
                <w:i w:val="0"/>
                <w:sz w:val="18"/>
              </w:rPr>
              <w:t>sensor@20%</w:t>
            </w:r>
          </w:p>
        </w:tc>
        <w:tc>
          <w:tcPr>
            <w:tcW w:type="dxa" w:w="1440"/>
          </w:tcPr>
          <w:p>
            <w:r/>
            <w:r>
              <w:rPr>
                <w:rFonts w:ascii="Times New Roman" w:hAnsi="Times New Roman" w:eastAsia="Times New Roman"/>
                <w:b/>
                <w:i w:val="0"/>
                <w:sz w:val="18"/>
              </w:rPr>
              <w:t>station@20%</w:t>
            </w:r>
          </w:p>
        </w:tc>
        <w:tc>
          <w:tcPr>
            <w:tcW w:type="dxa" w:w="1440"/>
          </w:tcPr>
          <w:p>
            <w:r/>
            <w:r>
              <w:rPr>
                <w:rFonts w:ascii="Times New Roman" w:hAnsi="Times New Roman" w:eastAsia="Times New Roman"/>
                <w:b/>
                <w:i w:val="0"/>
                <w:sz w:val="18"/>
              </w:rPr>
              <w:t>mixed@20%</w:t>
            </w:r>
          </w:p>
        </w:tc>
      </w:tr>
      <w:tr>
        <w:tc>
          <w:tcPr>
            <w:tcW w:type="dxa" w:w="1440"/>
          </w:tcPr>
          <w:p>
            <w:r/>
            <w:r>
              <w:rPr>
                <w:rFonts w:ascii="Times New Roman" w:hAnsi="Times New Roman" w:eastAsia="Times New Roman"/>
                <w:b w:val="0"/>
                <w:i w:val="0"/>
                <w:sz w:val="18"/>
              </w:rPr>
              <w:t>Mean</w:t>
            </w:r>
          </w:p>
        </w:tc>
        <w:tc>
          <w:tcPr>
            <w:tcW w:type="dxa" w:w="1440"/>
          </w:tcPr>
          <w:p>
            <w:r/>
            <w:r>
              <w:rPr>
                <w:rFonts w:ascii="Times New Roman" w:hAnsi="Times New Roman" w:eastAsia="Times New Roman"/>
                <w:b w:val="0"/>
                <w:i w:val="0"/>
                <w:sz w:val="18"/>
              </w:rPr>
              <w:t>0.7002</w:t>
            </w:r>
          </w:p>
        </w:tc>
        <w:tc>
          <w:tcPr>
            <w:tcW w:type="dxa" w:w="1440"/>
          </w:tcPr>
          <w:p>
            <w:r/>
            <w:r>
              <w:rPr>
                <w:rFonts w:ascii="Times New Roman" w:hAnsi="Times New Roman" w:eastAsia="Times New Roman"/>
                <w:b w:val="0"/>
                <w:i w:val="0"/>
                <w:sz w:val="18"/>
              </w:rPr>
              <w:t>0.6980</w:t>
            </w:r>
          </w:p>
        </w:tc>
        <w:tc>
          <w:tcPr>
            <w:tcW w:type="dxa" w:w="1440"/>
          </w:tcPr>
          <w:p>
            <w:r/>
            <w:r>
              <w:rPr>
                <w:rFonts w:ascii="Times New Roman" w:hAnsi="Times New Roman" w:eastAsia="Times New Roman"/>
                <w:b w:val="0"/>
                <w:i w:val="0"/>
                <w:sz w:val="18"/>
              </w:rPr>
              <w:t>0.7056</w:t>
            </w:r>
          </w:p>
        </w:tc>
        <w:tc>
          <w:tcPr>
            <w:tcW w:type="dxa" w:w="1440"/>
          </w:tcPr>
          <w:p>
            <w:r/>
            <w:r>
              <w:rPr>
                <w:rFonts w:ascii="Times New Roman" w:hAnsi="Times New Roman" w:eastAsia="Times New Roman"/>
                <w:b w:val="0"/>
                <w:i w:val="0"/>
                <w:sz w:val="18"/>
              </w:rPr>
              <w:t>0.7044</w:t>
            </w:r>
          </w:p>
        </w:tc>
        <w:tc>
          <w:tcPr>
            <w:tcW w:type="dxa" w:w="1440"/>
          </w:tcPr>
          <w:p>
            <w:r/>
            <w:r>
              <w:rPr>
                <w:rFonts w:ascii="Times New Roman" w:hAnsi="Times New Roman" w:eastAsia="Times New Roman"/>
                <w:b w:val="0"/>
                <w:i w:val="0"/>
                <w:sz w:val="18"/>
              </w:rPr>
              <w:t>0.7076</w:t>
            </w:r>
          </w:p>
        </w:tc>
      </w:tr>
      <w:tr>
        <w:tc>
          <w:tcPr>
            <w:tcW w:type="dxa" w:w="1440"/>
          </w:tcPr>
          <w:p>
            <w:r/>
            <w:r>
              <w:rPr>
                <w:rFonts w:ascii="Times New Roman" w:hAnsi="Times New Roman" w:eastAsia="Times New Roman"/>
                <w:b w:val="0"/>
                <w:i w:val="0"/>
                <w:sz w:val="18"/>
              </w:rPr>
              <w:t>LOCF</w:t>
            </w:r>
          </w:p>
        </w:tc>
        <w:tc>
          <w:tcPr>
            <w:tcW w:type="dxa" w:w="1440"/>
          </w:tcPr>
          <w:p>
            <w:r/>
            <w:r>
              <w:rPr>
                <w:rFonts w:ascii="Times New Roman" w:hAnsi="Times New Roman" w:eastAsia="Times New Roman"/>
                <w:b w:val="0"/>
                <w:i w:val="0"/>
                <w:sz w:val="18"/>
              </w:rPr>
              <w:t>0.5191</w:t>
            </w:r>
          </w:p>
        </w:tc>
        <w:tc>
          <w:tcPr>
            <w:tcW w:type="dxa" w:w="1440"/>
          </w:tcPr>
          <w:p>
            <w:r/>
            <w:r>
              <w:rPr>
                <w:rFonts w:ascii="Times New Roman" w:hAnsi="Times New Roman" w:eastAsia="Times New Roman"/>
                <w:b w:val="0"/>
                <w:i w:val="0"/>
                <w:sz w:val="18"/>
              </w:rPr>
              <w:t>0.6237</w:t>
            </w:r>
          </w:p>
        </w:tc>
        <w:tc>
          <w:tcPr>
            <w:tcW w:type="dxa" w:w="1440"/>
          </w:tcPr>
          <w:p>
            <w:r/>
            <w:r>
              <w:rPr>
                <w:rFonts w:ascii="Times New Roman" w:hAnsi="Times New Roman" w:eastAsia="Times New Roman"/>
                <w:b w:val="0"/>
                <w:i w:val="0"/>
                <w:sz w:val="18"/>
              </w:rPr>
              <w:t>0.7119</w:t>
            </w:r>
          </w:p>
        </w:tc>
        <w:tc>
          <w:tcPr>
            <w:tcW w:type="dxa" w:w="1440"/>
          </w:tcPr>
          <w:p>
            <w:r/>
            <w:r>
              <w:rPr>
                <w:rFonts w:ascii="Times New Roman" w:hAnsi="Times New Roman" w:eastAsia="Times New Roman"/>
                <w:b w:val="0"/>
                <w:i w:val="0"/>
                <w:sz w:val="18"/>
              </w:rPr>
              <w:t>0.7181</w:t>
            </w:r>
          </w:p>
        </w:tc>
        <w:tc>
          <w:tcPr>
            <w:tcW w:type="dxa" w:w="1440"/>
          </w:tcPr>
          <w:p>
            <w:r/>
            <w:r>
              <w:rPr>
                <w:rFonts w:ascii="Times New Roman" w:hAnsi="Times New Roman" w:eastAsia="Times New Roman"/>
                <w:b w:val="0"/>
                <w:i w:val="0"/>
                <w:sz w:val="18"/>
              </w:rPr>
              <w:t>0.5735</w:t>
            </w:r>
          </w:p>
        </w:tc>
      </w:tr>
      <w:tr>
        <w:tc>
          <w:tcPr>
            <w:tcW w:type="dxa" w:w="1440"/>
          </w:tcPr>
          <w:p>
            <w:r/>
            <w:r>
              <w:rPr>
                <w:rFonts w:ascii="Times New Roman" w:hAnsi="Times New Roman" w:eastAsia="Times New Roman"/>
                <w:b w:val="0"/>
                <w:i w:val="0"/>
                <w:sz w:val="18"/>
              </w:rPr>
              <w:t>Linear</w:t>
            </w:r>
          </w:p>
        </w:tc>
        <w:tc>
          <w:tcPr>
            <w:tcW w:type="dxa" w:w="1440"/>
          </w:tcPr>
          <w:p>
            <w:r/>
            <w:r>
              <w:rPr>
                <w:rFonts w:ascii="Times New Roman" w:hAnsi="Times New Roman" w:eastAsia="Times New Roman"/>
                <w:b w:val="0"/>
                <w:i w:val="0"/>
                <w:sz w:val="18"/>
              </w:rPr>
              <w:t>0.3848</w:t>
            </w:r>
          </w:p>
        </w:tc>
        <w:tc>
          <w:tcPr>
            <w:tcW w:type="dxa" w:w="1440"/>
          </w:tcPr>
          <w:p>
            <w:r/>
            <w:r>
              <w:rPr>
                <w:rFonts w:ascii="Times New Roman" w:hAnsi="Times New Roman" w:eastAsia="Times New Roman"/>
                <w:b w:val="0"/>
                <w:i w:val="0"/>
                <w:sz w:val="18"/>
              </w:rPr>
              <w:t>0.5789</w:t>
            </w:r>
          </w:p>
        </w:tc>
        <w:tc>
          <w:tcPr>
            <w:tcW w:type="dxa" w:w="1440"/>
          </w:tcPr>
          <w:p>
            <w:r/>
            <w:r>
              <w:rPr>
                <w:rFonts w:ascii="Times New Roman" w:hAnsi="Times New Roman" w:eastAsia="Times New Roman"/>
                <w:b w:val="0"/>
                <w:i w:val="0"/>
                <w:sz w:val="18"/>
              </w:rPr>
              <w:t>0.7119</w:t>
            </w:r>
          </w:p>
        </w:tc>
        <w:tc>
          <w:tcPr>
            <w:tcW w:type="dxa" w:w="1440"/>
          </w:tcPr>
          <w:p>
            <w:r/>
            <w:r>
              <w:rPr>
                <w:rFonts w:ascii="Times New Roman" w:hAnsi="Times New Roman" w:eastAsia="Times New Roman"/>
                <w:b w:val="0"/>
                <w:i w:val="0"/>
                <w:sz w:val="18"/>
              </w:rPr>
              <w:t>0.7181</w:t>
            </w:r>
          </w:p>
        </w:tc>
        <w:tc>
          <w:tcPr>
            <w:tcW w:type="dxa" w:w="1440"/>
          </w:tcPr>
          <w:p>
            <w:r/>
            <w:r>
              <w:rPr>
                <w:rFonts w:ascii="Times New Roman" w:hAnsi="Times New Roman" w:eastAsia="Times New Roman"/>
                <w:b w:val="0"/>
                <w:i w:val="0"/>
                <w:sz w:val="18"/>
              </w:rPr>
              <w:t>0.5030</w:t>
            </w:r>
          </w:p>
        </w:tc>
      </w:tr>
      <w:tr>
        <w:tc>
          <w:tcPr>
            <w:tcW w:type="dxa" w:w="1440"/>
          </w:tcPr>
          <w:p>
            <w:r/>
            <w:r>
              <w:rPr>
                <w:rFonts w:ascii="Times New Roman" w:hAnsi="Times New Roman" w:eastAsia="Times New Roman"/>
                <w:b w:val="0"/>
                <w:i w:val="0"/>
                <w:sz w:val="18"/>
              </w:rPr>
              <w:t>SAITS</w:t>
            </w:r>
          </w:p>
        </w:tc>
        <w:tc>
          <w:tcPr>
            <w:tcW w:type="dxa" w:w="1440"/>
          </w:tcPr>
          <w:p>
            <w:r/>
            <w:r>
              <w:rPr>
                <w:rFonts w:ascii="Times New Roman" w:hAnsi="Times New Roman" w:eastAsia="Times New Roman"/>
                <w:b w:val="0"/>
                <w:i w:val="0"/>
                <w:sz w:val="18"/>
              </w:rPr>
              <w:t>0.5564</w:t>
            </w:r>
          </w:p>
        </w:tc>
        <w:tc>
          <w:tcPr>
            <w:tcW w:type="dxa" w:w="1440"/>
          </w:tcPr>
          <w:p>
            <w:r/>
            <w:r>
              <w:rPr>
                <w:rFonts w:ascii="Times New Roman" w:hAnsi="Times New Roman" w:eastAsia="Times New Roman"/>
                <w:b w:val="0"/>
                <w:i w:val="0"/>
                <w:sz w:val="18"/>
              </w:rPr>
              <w:t>0.5663</w:t>
            </w:r>
          </w:p>
        </w:tc>
        <w:tc>
          <w:tcPr>
            <w:tcW w:type="dxa" w:w="1440"/>
          </w:tcPr>
          <w:p>
            <w:r/>
            <w:r>
              <w:rPr>
                <w:rFonts w:ascii="Times New Roman" w:hAnsi="Times New Roman" w:eastAsia="Times New Roman"/>
                <w:b w:val="0"/>
                <w:i w:val="0"/>
                <w:sz w:val="18"/>
              </w:rPr>
              <w:t>0.5851</w:t>
            </w:r>
          </w:p>
        </w:tc>
        <w:tc>
          <w:tcPr>
            <w:tcW w:type="dxa" w:w="1440"/>
          </w:tcPr>
          <w:p>
            <w:r/>
            <w:r>
              <w:rPr>
                <w:rFonts w:ascii="Times New Roman" w:hAnsi="Times New Roman" w:eastAsia="Times New Roman"/>
                <w:b w:val="0"/>
                <w:i w:val="0"/>
                <w:sz w:val="18"/>
              </w:rPr>
              <w:t>0.5682</w:t>
            </w:r>
          </w:p>
        </w:tc>
        <w:tc>
          <w:tcPr>
            <w:tcW w:type="dxa" w:w="1440"/>
          </w:tcPr>
          <w:p>
            <w:r/>
            <w:r>
              <w:rPr>
                <w:rFonts w:ascii="Times New Roman" w:hAnsi="Times New Roman" w:eastAsia="Times New Roman"/>
                <w:b w:val="0"/>
                <w:i w:val="0"/>
                <w:sz w:val="18"/>
              </w:rPr>
              <w:t>0.5661</w:t>
            </w:r>
          </w:p>
        </w:tc>
      </w:tr>
      <w:tr>
        <w:tc>
          <w:tcPr>
            <w:tcW w:type="dxa" w:w="1440"/>
          </w:tcPr>
          <w:p>
            <w:r/>
            <w:r>
              <w:rPr>
                <w:rFonts w:ascii="Times New Roman" w:hAnsi="Times New Roman" w:eastAsia="Times New Roman"/>
                <w:b w:val="0"/>
                <w:i w:val="0"/>
                <w:sz w:val="18"/>
              </w:rPr>
              <w:t>BRITS</w:t>
            </w:r>
          </w:p>
        </w:tc>
        <w:tc>
          <w:tcPr>
            <w:tcW w:type="dxa" w:w="1440"/>
          </w:tcPr>
          <w:p>
            <w:r/>
            <w:r>
              <w:rPr>
                <w:rFonts w:ascii="Times New Roman" w:hAnsi="Times New Roman" w:eastAsia="Times New Roman"/>
                <w:b w:val="0"/>
                <w:i w:val="0"/>
                <w:sz w:val="18"/>
              </w:rPr>
              <w:t>0.5073</w:t>
            </w:r>
          </w:p>
        </w:tc>
        <w:tc>
          <w:tcPr>
            <w:tcW w:type="dxa" w:w="1440"/>
          </w:tcPr>
          <w:p>
            <w:r/>
            <w:r>
              <w:rPr>
                <w:rFonts w:ascii="Times New Roman" w:hAnsi="Times New Roman" w:eastAsia="Times New Roman"/>
                <w:b w:val="0"/>
                <w:i w:val="0"/>
                <w:sz w:val="18"/>
              </w:rPr>
              <w:t>0.5368</w:t>
            </w:r>
          </w:p>
        </w:tc>
        <w:tc>
          <w:tcPr>
            <w:tcW w:type="dxa" w:w="1440"/>
          </w:tcPr>
          <w:p>
            <w:r/>
            <w:r>
              <w:rPr>
                <w:rFonts w:ascii="Times New Roman" w:hAnsi="Times New Roman" w:eastAsia="Times New Roman"/>
                <w:b w:val="0"/>
                <w:i w:val="0"/>
                <w:sz w:val="18"/>
              </w:rPr>
              <w:t>0.5371</w:t>
            </w:r>
          </w:p>
        </w:tc>
        <w:tc>
          <w:tcPr>
            <w:tcW w:type="dxa" w:w="1440"/>
          </w:tcPr>
          <w:p>
            <w:r/>
            <w:r>
              <w:rPr>
                <w:rFonts w:ascii="Times New Roman" w:hAnsi="Times New Roman" w:eastAsia="Times New Roman"/>
                <w:b w:val="0"/>
                <w:i w:val="0"/>
                <w:sz w:val="18"/>
              </w:rPr>
              <w:t>0.5467</w:t>
            </w:r>
          </w:p>
        </w:tc>
        <w:tc>
          <w:tcPr>
            <w:tcW w:type="dxa" w:w="1440"/>
          </w:tcPr>
          <w:p>
            <w:r/>
            <w:r>
              <w:rPr>
                <w:rFonts w:ascii="Times New Roman" w:hAnsi="Times New Roman" w:eastAsia="Times New Roman"/>
                <w:b w:val="0"/>
                <w:i w:val="0"/>
                <w:sz w:val="18"/>
              </w:rPr>
              <w:t>0.5272</w:t>
            </w:r>
          </w:p>
        </w:tc>
      </w:tr>
      <w:tr>
        <w:tc>
          <w:tcPr>
            <w:tcW w:type="dxa" w:w="1440"/>
          </w:tcPr>
          <w:p>
            <w:r/>
            <w:r>
              <w:rPr>
                <w:rFonts w:ascii="Times New Roman" w:hAnsi="Times New Roman" w:eastAsia="Times New Roman"/>
                <w:b w:val="0"/>
                <w:i w:val="0"/>
                <w:sz w:val="18"/>
              </w:rPr>
              <w:t>GRIN*</w:t>
            </w:r>
          </w:p>
        </w:tc>
        <w:tc>
          <w:tcPr>
            <w:tcW w:type="dxa" w:w="1440"/>
          </w:tcPr>
          <w:p>
            <w:r/>
            <w:r>
              <w:rPr>
                <w:rFonts w:ascii="Times New Roman" w:hAnsi="Times New Roman" w:eastAsia="Times New Roman"/>
                <w:b w:val="0"/>
                <w:i w:val="0"/>
                <w:sz w:val="18"/>
              </w:rPr>
              <w:t>0.6251</w:t>
            </w:r>
          </w:p>
        </w:tc>
        <w:tc>
          <w:tcPr>
            <w:tcW w:type="dxa" w:w="1440"/>
          </w:tcPr>
          <w:p>
            <w:r/>
            <w:r>
              <w:rPr>
                <w:rFonts w:ascii="Times New Roman" w:hAnsi="Times New Roman" w:eastAsia="Times New Roman"/>
                <w:b w:val="0"/>
                <w:i w:val="0"/>
                <w:sz w:val="18"/>
              </w:rPr>
              <w:t>0.6376</w:t>
            </w:r>
          </w:p>
        </w:tc>
        <w:tc>
          <w:tcPr>
            <w:tcW w:type="dxa" w:w="1440"/>
          </w:tcPr>
          <w:p>
            <w:r/>
            <w:r>
              <w:rPr>
                <w:rFonts w:ascii="Times New Roman" w:hAnsi="Times New Roman" w:eastAsia="Times New Roman"/>
                <w:b w:val="0"/>
                <w:i w:val="0"/>
                <w:sz w:val="18"/>
              </w:rPr>
              <w:t>0.6076</w:t>
            </w:r>
          </w:p>
        </w:tc>
        <w:tc>
          <w:tcPr>
            <w:tcW w:type="dxa" w:w="1440"/>
          </w:tcPr>
          <w:p>
            <w:r/>
            <w:r>
              <w:rPr>
                <w:rFonts w:ascii="Times New Roman" w:hAnsi="Times New Roman" w:eastAsia="Times New Roman"/>
                <w:b w:val="0"/>
                <w:i w:val="0"/>
                <w:sz w:val="18"/>
              </w:rPr>
              <w:t>0.6509</w:t>
            </w:r>
          </w:p>
        </w:tc>
        <w:tc>
          <w:tcPr>
            <w:tcW w:type="dxa" w:w="1440"/>
          </w:tcPr>
          <w:p>
            <w:r/>
            <w:r>
              <w:rPr>
                <w:rFonts w:ascii="Times New Roman" w:hAnsi="Times New Roman" w:eastAsia="Times New Roman"/>
                <w:b w:val="0"/>
                <w:i w:val="0"/>
                <w:sz w:val="18"/>
              </w:rPr>
              <w:t>0.6282</w:t>
            </w:r>
          </w:p>
        </w:tc>
      </w:tr>
      <w:tr>
        <w:tc>
          <w:tcPr>
            <w:tcW w:type="dxa" w:w="1440"/>
          </w:tcPr>
          <w:p>
            <w:r/>
            <w:r>
              <w:rPr>
                <w:rFonts w:ascii="Times New Roman" w:hAnsi="Times New Roman" w:eastAsia="Times New Roman"/>
                <w:b w:val="0"/>
                <w:i w:val="0"/>
                <w:sz w:val="18"/>
              </w:rPr>
              <w:t>MaskView-ST</w:t>
            </w:r>
          </w:p>
        </w:tc>
        <w:tc>
          <w:tcPr>
            <w:tcW w:type="dxa" w:w="1440"/>
          </w:tcPr>
          <w:p>
            <w:r/>
            <w:r>
              <w:rPr>
                <w:rFonts w:ascii="Times New Roman" w:hAnsi="Times New Roman" w:eastAsia="Times New Roman"/>
                <w:b w:val="0"/>
                <w:i w:val="0"/>
                <w:sz w:val="18"/>
              </w:rPr>
              <w:t>0.3958</w:t>
            </w:r>
          </w:p>
        </w:tc>
        <w:tc>
          <w:tcPr>
            <w:tcW w:type="dxa" w:w="1440"/>
          </w:tcPr>
          <w:p>
            <w:r/>
            <w:r>
              <w:rPr>
                <w:rFonts w:ascii="Times New Roman" w:hAnsi="Times New Roman" w:eastAsia="Times New Roman"/>
                <w:b w:val="0"/>
                <w:i w:val="0"/>
                <w:sz w:val="18"/>
              </w:rPr>
              <w:t>0.4657</w:t>
            </w:r>
          </w:p>
        </w:tc>
        <w:tc>
          <w:tcPr>
            <w:tcW w:type="dxa" w:w="1440"/>
          </w:tcPr>
          <w:p>
            <w:r/>
            <w:r>
              <w:rPr>
                <w:rFonts w:ascii="Times New Roman" w:hAnsi="Times New Roman" w:eastAsia="Times New Roman"/>
                <w:b w:val="0"/>
                <w:i w:val="0"/>
                <w:sz w:val="18"/>
              </w:rPr>
              <w:t>0.4944</w:t>
            </w:r>
          </w:p>
        </w:tc>
        <w:tc>
          <w:tcPr>
            <w:tcW w:type="dxa" w:w="1440"/>
          </w:tcPr>
          <w:p>
            <w:r/>
            <w:r>
              <w:rPr>
                <w:rFonts w:ascii="Times New Roman" w:hAnsi="Times New Roman" w:eastAsia="Times New Roman"/>
                <w:b w:val="0"/>
                <w:i w:val="0"/>
                <w:sz w:val="18"/>
              </w:rPr>
              <w:t>0.6441</w:t>
            </w:r>
          </w:p>
        </w:tc>
        <w:tc>
          <w:tcPr>
            <w:tcW w:type="dxa" w:w="1440"/>
          </w:tcPr>
          <w:p>
            <w:r/>
            <w:r>
              <w:rPr>
                <w:rFonts w:ascii="Times New Roman" w:hAnsi="Times New Roman" w:eastAsia="Times New Roman"/>
                <w:b w:val="0"/>
                <w:i w:val="0"/>
                <w:sz w:val="18"/>
              </w:rPr>
              <w:t>0.4572</w:t>
            </w:r>
          </w:p>
        </w:tc>
      </w:tr>
    </w:tbl>
    <w:p>
      <w:pPr>
        <w:spacing w:before="80" w:after="200"/>
        <w:jc w:val="center"/>
      </w:pPr>
      <w:r>
        <w:rPr>
          <w:rFonts w:ascii="Times New Roman" w:hAnsi="Times New Roman" w:eastAsia="Times New Roman"/>
          <w:b w:val="0"/>
          <w:i w:val="0"/>
          <w:sz w:val="20"/>
        </w:rPr>
        <w:t>Table 2. Standardized DO MAE at selected pattern@rate settings (full grid in repository).</w:t>
      </w:r>
    </w:p>
    <w:p>
      <w:pPr>
        <w:spacing w:before="240" w:after="120" w:line="276" w:lineRule="auto"/>
      </w:pPr>
      <w:r>
        <w:rPr>
          <w:rFonts w:ascii="Times New Roman" w:hAnsi="Times New Roman" w:eastAsia="Times New Roman"/>
          <w:b/>
          <w:i w:val="0"/>
          <w:sz w:val="22"/>
        </w:rPr>
        <w:t>3.3. Ablations</w:t>
      </w:r>
    </w:p>
    <w:p>
      <w:pPr>
        <w:spacing w:line="480" w:lineRule="auto"/>
        <w:ind w:firstLine="360"/>
      </w:pPr>
      <w:r>
        <w:rPr>
          <w:rFonts w:ascii="Times New Roman" w:hAnsi="Times New Roman" w:eastAsia="Times New Roman"/>
          <w:b w:val="0"/>
          <w:i w:val="0"/>
          <w:sz w:val="22"/>
        </w:rPr>
        <w:t>After correcting consistency to operate on raw predictions, increasing λ_cons from 0 to 1.0 monotonically worsens average MAE; mild or zero consistency is preferred at the present scale. Training with point masks only yields excellent point-gap skill but collapses on sensor and station outages, providing direct evidence that the Mask-View pattern bank is necessary for operational robustness. The upgraded spatial_plus_l0 recipe (MixHop, denser kNN, mask-aware aggregation, station-pattern boost, λ_cons = 0) attains the best overall and DO averages and surpasses BRITS on sensor dropout, while a residual station-pattern gap to BRITS remains.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8"/>
              </w:rPr>
              <w:t>Variant</w:t>
            </w:r>
          </w:p>
        </w:tc>
        <w:tc>
          <w:tcPr>
            <w:tcW w:type="dxa" w:w="1440"/>
          </w:tcPr>
          <w:p>
            <w:r/>
            <w:r>
              <w:rPr>
                <w:rFonts w:ascii="Times New Roman" w:hAnsi="Times New Roman" w:eastAsia="Times New Roman"/>
                <w:b/>
                <w:i w:val="0"/>
                <w:sz w:val="18"/>
              </w:rPr>
              <w:t>block_time</w:t>
            </w:r>
          </w:p>
        </w:tc>
        <w:tc>
          <w:tcPr>
            <w:tcW w:type="dxa" w:w="1440"/>
          </w:tcPr>
          <w:p>
            <w:r/>
            <w:r>
              <w:rPr>
                <w:rFonts w:ascii="Times New Roman" w:hAnsi="Times New Roman" w:eastAsia="Times New Roman"/>
                <w:b/>
                <w:i w:val="0"/>
                <w:sz w:val="18"/>
              </w:rPr>
              <w:t>mixed</w:t>
            </w:r>
          </w:p>
        </w:tc>
        <w:tc>
          <w:tcPr>
            <w:tcW w:type="dxa" w:w="1440"/>
          </w:tcPr>
          <w:p>
            <w:r/>
            <w:r>
              <w:rPr>
                <w:rFonts w:ascii="Times New Roman" w:hAnsi="Times New Roman" w:eastAsia="Times New Roman"/>
                <w:b/>
                <w:i w:val="0"/>
                <w:sz w:val="18"/>
              </w:rPr>
              <w:t>point</w:t>
            </w:r>
          </w:p>
        </w:tc>
        <w:tc>
          <w:tcPr>
            <w:tcW w:type="dxa" w:w="1440"/>
          </w:tcPr>
          <w:p>
            <w:r/>
            <w:r>
              <w:rPr>
                <w:rFonts w:ascii="Times New Roman" w:hAnsi="Times New Roman" w:eastAsia="Times New Roman"/>
                <w:b/>
                <w:i w:val="0"/>
                <w:sz w:val="18"/>
              </w:rPr>
              <w:t>sensor</w:t>
            </w:r>
          </w:p>
        </w:tc>
        <w:tc>
          <w:tcPr>
            <w:tcW w:type="dxa" w:w="1440"/>
          </w:tcPr>
          <w:p>
            <w:r/>
            <w:r>
              <w:rPr>
                <w:rFonts w:ascii="Times New Roman" w:hAnsi="Times New Roman" w:eastAsia="Times New Roman"/>
                <w:b/>
                <w:i w:val="0"/>
                <w:sz w:val="18"/>
              </w:rPr>
              <w:t>station</w:t>
            </w:r>
          </w:p>
        </w:tc>
      </w:tr>
      <w:tr>
        <w:tc>
          <w:tcPr>
            <w:tcW w:type="dxa" w:w="1440"/>
          </w:tcPr>
          <w:p>
            <w:r/>
            <w:r>
              <w:rPr>
                <w:rFonts w:ascii="Times New Roman" w:hAnsi="Times New Roman" w:eastAsia="Times New Roman"/>
                <w:b w:val="0"/>
                <w:i w:val="0"/>
                <w:sz w:val="18"/>
              </w:rPr>
              <w:t>BRITS_ref</w:t>
            </w:r>
          </w:p>
        </w:tc>
        <w:tc>
          <w:tcPr>
            <w:tcW w:type="dxa" w:w="1440"/>
          </w:tcPr>
          <w:p>
            <w:r/>
            <w:r>
              <w:rPr>
                <w:rFonts w:ascii="Times New Roman" w:hAnsi="Times New Roman" w:eastAsia="Times New Roman"/>
                <w:b w:val="0"/>
                <w:i w:val="0"/>
                <w:sz w:val="18"/>
              </w:rPr>
              <w:t>0.4417</w:t>
            </w:r>
          </w:p>
        </w:tc>
        <w:tc>
          <w:tcPr>
            <w:tcW w:type="dxa" w:w="1440"/>
          </w:tcPr>
          <w:p>
            <w:r/>
            <w:r>
              <w:rPr>
                <w:rFonts w:ascii="Times New Roman" w:hAnsi="Times New Roman" w:eastAsia="Times New Roman"/>
                <w:b w:val="0"/>
                <w:i w:val="0"/>
                <w:sz w:val="18"/>
              </w:rPr>
              <w:t>0.4332</w:t>
            </w:r>
          </w:p>
        </w:tc>
        <w:tc>
          <w:tcPr>
            <w:tcW w:type="dxa" w:w="1440"/>
          </w:tcPr>
          <w:p>
            <w:r/>
            <w:r>
              <w:rPr>
                <w:rFonts w:ascii="Times New Roman" w:hAnsi="Times New Roman" w:eastAsia="Times New Roman"/>
                <w:b w:val="0"/>
                <w:i w:val="0"/>
                <w:sz w:val="18"/>
              </w:rPr>
              <w:t>0.4295</w:t>
            </w:r>
          </w:p>
        </w:tc>
        <w:tc>
          <w:tcPr>
            <w:tcW w:type="dxa" w:w="1440"/>
          </w:tcPr>
          <w:p>
            <w:r/>
            <w:r>
              <w:rPr>
                <w:rFonts w:ascii="Times New Roman" w:hAnsi="Times New Roman" w:eastAsia="Times New Roman"/>
                <w:b w:val="0"/>
                <w:i w:val="0"/>
                <w:sz w:val="18"/>
              </w:rPr>
              <w:t>0.4302</w:t>
            </w:r>
          </w:p>
        </w:tc>
        <w:tc>
          <w:tcPr>
            <w:tcW w:type="dxa" w:w="1440"/>
          </w:tcPr>
          <w:p>
            <w:r/>
            <w:r>
              <w:rPr>
                <w:rFonts w:ascii="Times New Roman" w:hAnsi="Times New Roman" w:eastAsia="Times New Roman"/>
                <w:b w:val="0"/>
                <w:i w:val="0"/>
                <w:sz w:val="18"/>
              </w:rPr>
              <w:t>0.4345</w:t>
            </w:r>
          </w:p>
        </w:tc>
      </w:tr>
      <w:tr>
        <w:tc>
          <w:tcPr>
            <w:tcW w:type="dxa" w:w="1440"/>
          </w:tcPr>
          <w:p>
            <w:r/>
            <w:r>
              <w:rPr>
                <w:rFonts w:ascii="Times New Roman" w:hAnsi="Times New Roman" w:eastAsia="Times New Roman"/>
                <w:b w:val="0"/>
                <w:i w:val="0"/>
                <w:sz w:val="18"/>
              </w:rPr>
              <w:t>lcons05_fixed</w:t>
            </w:r>
          </w:p>
        </w:tc>
        <w:tc>
          <w:tcPr>
            <w:tcW w:type="dxa" w:w="1440"/>
          </w:tcPr>
          <w:p>
            <w:r/>
            <w:r>
              <w:rPr>
                <w:rFonts w:ascii="Times New Roman" w:hAnsi="Times New Roman" w:eastAsia="Times New Roman"/>
                <w:b w:val="0"/>
                <w:i w:val="0"/>
                <w:sz w:val="18"/>
              </w:rPr>
              <w:t>0.3607</w:t>
            </w:r>
          </w:p>
        </w:tc>
        <w:tc>
          <w:tcPr>
            <w:tcW w:type="dxa" w:w="1440"/>
          </w:tcPr>
          <w:p>
            <w:r/>
            <w:r>
              <w:rPr>
                <w:rFonts w:ascii="Times New Roman" w:hAnsi="Times New Roman" w:eastAsia="Times New Roman"/>
                <w:b w:val="0"/>
                <w:i w:val="0"/>
                <w:sz w:val="18"/>
              </w:rPr>
              <w:t>0.3760</w:t>
            </w:r>
          </w:p>
        </w:tc>
        <w:tc>
          <w:tcPr>
            <w:tcW w:type="dxa" w:w="1440"/>
          </w:tcPr>
          <w:p>
            <w:r/>
            <w:r>
              <w:rPr>
                <w:rFonts w:ascii="Times New Roman" w:hAnsi="Times New Roman" w:eastAsia="Times New Roman"/>
                <w:b w:val="0"/>
                <w:i w:val="0"/>
                <w:sz w:val="18"/>
              </w:rPr>
              <w:t>0.3474</w:t>
            </w:r>
          </w:p>
        </w:tc>
        <w:tc>
          <w:tcPr>
            <w:tcW w:type="dxa" w:w="1440"/>
          </w:tcPr>
          <w:p>
            <w:r/>
            <w:r>
              <w:rPr>
                <w:rFonts w:ascii="Times New Roman" w:hAnsi="Times New Roman" w:eastAsia="Times New Roman"/>
                <w:b w:val="0"/>
                <w:i w:val="0"/>
                <w:sz w:val="18"/>
              </w:rPr>
              <w:t>0.4595</w:t>
            </w:r>
          </w:p>
        </w:tc>
        <w:tc>
          <w:tcPr>
            <w:tcW w:type="dxa" w:w="1440"/>
          </w:tcPr>
          <w:p>
            <w:r/>
            <w:r>
              <w:rPr>
                <w:rFonts w:ascii="Times New Roman" w:hAnsi="Times New Roman" w:eastAsia="Times New Roman"/>
                <w:b w:val="0"/>
                <w:i w:val="0"/>
                <w:sz w:val="18"/>
              </w:rPr>
              <w:t>0.5389</w:t>
            </w:r>
          </w:p>
        </w:tc>
      </w:tr>
      <w:tr>
        <w:tc>
          <w:tcPr>
            <w:tcW w:type="dxa" w:w="1440"/>
          </w:tcPr>
          <w:p>
            <w:r/>
            <w:r>
              <w:rPr>
                <w:rFonts w:ascii="Times New Roman" w:hAnsi="Times New Roman" w:eastAsia="Times New Roman"/>
                <w:b w:val="0"/>
                <w:i w:val="0"/>
                <w:sz w:val="18"/>
              </w:rPr>
              <w:t>lcons0_fixed</w:t>
            </w:r>
          </w:p>
        </w:tc>
        <w:tc>
          <w:tcPr>
            <w:tcW w:type="dxa" w:w="1440"/>
          </w:tcPr>
          <w:p>
            <w:r/>
            <w:r>
              <w:rPr>
                <w:rFonts w:ascii="Times New Roman" w:hAnsi="Times New Roman" w:eastAsia="Times New Roman"/>
                <w:b w:val="0"/>
                <w:i w:val="0"/>
                <w:sz w:val="18"/>
              </w:rPr>
              <w:t>0.3324</w:t>
            </w:r>
          </w:p>
        </w:tc>
        <w:tc>
          <w:tcPr>
            <w:tcW w:type="dxa" w:w="1440"/>
          </w:tcPr>
          <w:p>
            <w:r/>
            <w:r>
              <w:rPr>
                <w:rFonts w:ascii="Times New Roman" w:hAnsi="Times New Roman" w:eastAsia="Times New Roman"/>
                <w:b w:val="0"/>
                <w:i w:val="0"/>
                <w:sz w:val="18"/>
              </w:rPr>
              <w:t>0.3486</w:t>
            </w:r>
          </w:p>
        </w:tc>
        <w:tc>
          <w:tcPr>
            <w:tcW w:type="dxa" w:w="1440"/>
          </w:tcPr>
          <w:p>
            <w:r/>
            <w:r>
              <w:rPr>
                <w:rFonts w:ascii="Times New Roman" w:hAnsi="Times New Roman" w:eastAsia="Times New Roman"/>
                <w:b w:val="0"/>
                <w:i w:val="0"/>
                <w:sz w:val="18"/>
              </w:rPr>
              <w:t>0.3103</w:t>
            </w:r>
          </w:p>
        </w:tc>
        <w:tc>
          <w:tcPr>
            <w:tcW w:type="dxa" w:w="1440"/>
          </w:tcPr>
          <w:p>
            <w:r/>
            <w:r>
              <w:rPr>
                <w:rFonts w:ascii="Times New Roman" w:hAnsi="Times New Roman" w:eastAsia="Times New Roman"/>
                <w:b w:val="0"/>
                <w:i w:val="0"/>
                <w:sz w:val="18"/>
              </w:rPr>
              <w:t>0.4486</w:t>
            </w:r>
          </w:p>
        </w:tc>
        <w:tc>
          <w:tcPr>
            <w:tcW w:type="dxa" w:w="1440"/>
          </w:tcPr>
          <w:p>
            <w:r/>
            <w:r>
              <w:rPr>
                <w:rFonts w:ascii="Times New Roman" w:hAnsi="Times New Roman" w:eastAsia="Times New Roman"/>
                <w:b w:val="0"/>
                <w:i w:val="0"/>
                <w:sz w:val="18"/>
              </w:rPr>
              <w:t>0.5428</w:t>
            </w:r>
          </w:p>
        </w:tc>
      </w:tr>
      <w:tr>
        <w:tc>
          <w:tcPr>
            <w:tcW w:type="dxa" w:w="1440"/>
          </w:tcPr>
          <w:p>
            <w:r/>
            <w:r>
              <w:rPr>
                <w:rFonts w:ascii="Times New Roman" w:hAnsi="Times New Roman" w:eastAsia="Times New Roman"/>
                <w:b w:val="0"/>
                <w:i w:val="0"/>
                <w:sz w:val="18"/>
              </w:rPr>
              <w:t>lcons10_fixed</w:t>
            </w:r>
          </w:p>
        </w:tc>
        <w:tc>
          <w:tcPr>
            <w:tcW w:type="dxa" w:w="1440"/>
          </w:tcPr>
          <w:p>
            <w:r/>
            <w:r>
              <w:rPr>
                <w:rFonts w:ascii="Times New Roman" w:hAnsi="Times New Roman" w:eastAsia="Times New Roman"/>
                <w:b w:val="0"/>
                <w:i w:val="0"/>
                <w:sz w:val="18"/>
              </w:rPr>
              <w:t>0.4023</w:t>
            </w:r>
          </w:p>
        </w:tc>
        <w:tc>
          <w:tcPr>
            <w:tcW w:type="dxa" w:w="1440"/>
          </w:tcPr>
          <w:p>
            <w:r/>
            <w:r>
              <w:rPr>
                <w:rFonts w:ascii="Times New Roman" w:hAnsi="Times New Roman" w:eastAsia="Times New Roman"/>
                <w:b w:val="0"/>
                <w:i w:val="0"/>
                <w:sz w:val="18"/>
              </w:rPr>
              <w:t>0.4152</w:t>
            </w:r>
          </w:p>
        </w:tc>
        <w:tc>
          <w:tcPr>
            <w:tcW w:type="dxa" w:w="1440"/>
          </w:tcPr>
          <w:p>
            <w:r/>
            <w:r>
              <w:rPr>
                <w:rFonts w:ascii="Times New Roman" w:hAnsi="Times New Roman" w:eastAsia="Times New Roman"/>
                <w:b w:val="0"/>
                <w:i w:val="0"/>
                <w:sz w:val="18"/>
              </w:rPr>
              <w:t>0.3951</w:t>
            </w:r>
          </w:p>
        </w:tc>
        <w:tc>
          <w:tcPr>
            <w:tcW w:type="dxa" w:w="1440"/>
          </w:tcPr>
          <w:p>
            <w:r/>
            <w:r>
              <w:rPr>
                <w:rFonts w:ascii="Times New Roman" w:hAnsi="Times New Roman" w:eastAsia="Times New Roman"/>
                <w:b w:val="0"/>
                <w:i w:val="0"/>
                <w:sz w:val="18"/>
              </w:rPr>
              <w:t>0.4784</w:t>
            </w:r>
          </w:p>
        </w:tc>
        <w:tc>
          <w:tcPr>
            <w:tcW w:type="dxa" w:w="1440"/>
          </w:tcPr>
          <w:p>
            <w:r/>
            <w:r>
              <w:rPr>
                <w:rFonts w:ascii="Times New Roman" w:hAnsi="Times New Roman" w:eastAsia="Times New Roman"/>
                <w:b w:val="0"/>
                <w:i w:val="0"/>
                <w:sz w:val="18"/>
              </w:rPr>
              <w:t>0.5452</w:t>
            </w:r>
          </w:p>
        </w:tc>
      </w:tr>
      <w:tr>
        <w:tc>
          <w:tcPr>
            <w:tcW w:type="dxa" w:w="1440"/>
          </w:tcPr>
          <w:p>
            <w:r/>
            <w:r>
              <w:rPr>
                <w:rFonts w:ascii="Times New Roman" w:hAnsi="Times New Roman" w:eastAsia="Times New Roman"/>
                <w:b w:val="0"/>
                <w:i w:val="0"/>
                <w:sz w:val="18"/>
              </w:rPr>
              <w:t>point_only</w:t>
            </w:r>
          </w:p>
        </w:tc>
        <w:tc>
          <w:tcPr>
            <w:tcW w:type="dxa" w:w="1440"/>
          </w:tcPr>
          <w:p>
            <w:r/>
            <w:r>
              <w:rPr>
                <w:rFonts w:ascii="Times New Roman" w:hAnsi="Times New Roman" w:eastAsia="Times New Roman"/>
                <w:b w:val="0"/>
                <w:i w:val="0"/>
                <w:sz w:val="18"/>
              </w:rPr>
              <w:t>0.2697</w:t>
            </w:r>
          </w:p>
        </w:tc>
        <w:tc>
          <w:tcPr>
            <w:tcW w:type="dxa" w:w="1440"/>
          </w:tcPr>
          <w:p>
            <w:r/>
            <w:r>
              <w:rPr>
                <w:rFonts w:ascii="Times New Roman" w:hAnsi="Times New Roman" w:eastAsia="Times New Roman"/>
                <w:b w:val="0"/>
                <w:i w:val="0"/>
                <w:sz w:val="18"/>
              </w:rPr>
              <w:t>0.3017</w:t>
            </w:r>
          </w:p>
        </w:tc>
        <w:tc>
          <w:tcPr>
            <w:tcW w:type="dxa" w:w="1440"/>
          </w:tcPr>
          <w:p>
            <w:r/>
            <w:r>
              <w:rPr>
                <w:rFonts w:ascii="Times New Roman" w:hAnsi="Times New Roman" w:eastAsia="Times New Roman"/>
                <w:b w:val="0"/>
                <w:i w:val="0"/>
                <w:sz w:val="18"/>
              </w:rPr>
              <w:t>0.2414</w:t>
            </w:r>
          </w:p>
        </w:tc>
        <w:tc>
          <w:tcPr>
            <w:tcW w:type="dxa" w:w="1440"/>
          </w:tcPr>
          <w:p>
            <w:r/>
            <w:r>
              <w:rPr>
                <w:rFonts w:ascii="Times New Roman" w:hAnsi="Times New Roman" w:eastAsia="Times New Roman"/>
                <w:b w:val="0"/>
                <w:i w:val="0"/>
                <w:sz w:val="18"/>
              </w:rPr>
              <w:t>0.5804</w:t>
            </w:r>
          </w:p>
        </w:tc>
        <w:tc>
          <w:tcPr>
            <w:tcW w:type="dxa" w:w="1440"/>
          </w:tcPr>
          <w:p>
            <w:r/>
            <w:r>
              <w:rPr>
                <w:rFonts w:ascii="Times New Roman" w:hAnsi="Times New Roman" w:eastAsia="Times New Roman"/>
                <w:b w:val="0"/>
                <w:i w:val="0"/>
                <w:sz w:val="18"/>
              </w:rPr>
              <w:t>0.6392</w:t>
            </w:r>
          </w:p>
        </w:tc>
      </w:tr>
      <w:tr>
        <w:tc>
          <w:tcPr>
            <w:tcW w:type="dxa" w:w="1440"/>
          </w:tcPr>
          <w:p>
            <w:r/>
            <w:r>
              <w:rPr>
                <w:rFonts w:ascii="Times New Roman" w:hAnsi="Times New Roman" w:eastAsia="Times New Roman"/>
                <w:b w:val="0"/>
                <w:i w:val="0"/>
                <w:sz w:val="18"/>
              </w:rPr>
              <w:t>spatial_plus</w:t>
            </w:r>
          </w:p>
        </w:tc>
        <w:tc>
          <w:tcPr>
            <w:tcW w:type="dxa" w:w="1440"/>
          </w:tcPr>
          <w:p>
            <w:r/>
            <w:r>
              <w:rPr>
                <w:rFonts w:ascii="Times New Roman" w:hAnsi="Times New Roman" w:eastAsia="Times New Roman"/>
                <w:b w:val="0"/>
                <w:i w:val="0"/>
                <w:sz w:val="18"/>
              </w:rPr>
              <w:t>0.3455</w:t>
            </w:r>
          </w:p>
        </w:tc>
        <w:tc>
          <w:tcPr>
            <w:tcW w:type="dxa" w:w="1440"/>
          </w:tcPr>
          <w:p>
            <w:r/>
            <w:r>
              <w:rPr>
                <w:rFonts w:ascii="Times New Roman" w:hAnsi="Times New Roman" w:eastAsia="Times New Roman"/>
                <w:b w:val="0"/>
                <w:i w:val="0"/>
                <w:sz w:val="18"/>
              </w:rPr>
              <w:t>0.3651</w:t>
            </w:r>
          </w:p>
        </w:tc>
        <w:tc>
          <w:tcPr>
            <w:tcW w:type="dxa" w:w="1440"/>
          </w:tcPr>
          <w:p>
            <w:r/>
            <w:r>
              <w:rPr>
                <w:rFonts w:ascii="Times New Roman" w:hAnsi="Times New Roman" w:eastAsia="Times New Roman"/>
                <w:b w:val="0"/>
                <w:i w:val="0"/>
                <w:sz w:val="18"/>
              </w:rPr>
              <w:t>0.3315</w:t>
            </w:r>
          </w:p>
        </w:tc>
        <w:tc>
          <w:tcPr>
            <w:tcW w:type="dxa" w:w="1440"/>
          </w:tcPr>
          <w:p>
            <w:r/>
            <w:r>
              <w:rPr>
                <w:rFonts w:ascii="Times New Roman" w:hAnsi="Times New Roman" w:eastAsia="Times New Roman"/>
                <w:b w:val="0"/>
                <w:i w:val="0"/>
                <w:sz w:val="18"/>
              </w:rPr>
              <w:t>0.4443</w:t>
            </w:r>
          </w:p>
        </w:tc>
        <w:tc>
          <w:tcPr>
            <w:tcW w:type="dxa" w:w="1440"/>
          </w:tcPr>
          <w:p>
            <w:r/>
            <w:r>
              <w:rPr>
                <w:rFonts w:ascii="Times New Roman" w:hAnsi="Times New Roman" w:eastAsia="Times New Roman"/>
                <w:b w:val="0"/>
                <w:i w:val="0"/>
                <w:sz w:val="18"/>
              </w:rPr>
              <w:t>0.5501</w:t>
            </w:r>
          </w:p>
        </w:tc>
      </w:tr>
      <w:tr>
        <w:tc>
          <w:tcPr>
            <w:tcW w:type="dxa" w:w="1440"/>
          </w:tcPr>
          <w:p>
            <w:r/>
            <w:r>
              <w:rPr>
                <w:rFonts w:ascii="Times New Roman" w:hAnsi="Times New Roman" w:eastAsia="Times New Roman"/>
                <w:b w:val="0"/>
                <w:i w:val="0"/>
                <w:sz w:val="18"/>
              </w:rPr>
              <w:t>spatial_plus_l0</w:t>
            </w:r>
          </w:p>
        </w:tc>
        <w:tc>
          <w:tcPr>
            <w:tcW w:type="dxa" w:w="1440"/>
          </w:tcPr>
          <w:p>
            <w:r/>
            <w:r>
              <w:rPr>
                <w:rFonts w:ascii="Times New Roman" w:hAnsi="Times New Roman" w:eastAsia="Times New Roman"/>
                <w:b w:val="0"/>
                <w:i w:val="0"/>
                <w:sz w:val="18"/>
              </w:rPr>
              <w:t>0.3131</w:t>
            </w:r>
          </w:p>
        </w:tc>
        <w:tc>
          <w:tcPr>
            <w:tcW w:type="dxa" w:w="1440"/>
          </w:tcPr>
          <w:p>
            <w:r/>
            <w:r>
              <w:rPr>
                <w:rFonts w:ascii="Times New Roman" w:hAnsi="Times New Roman" w:eastAsia="Times New Roman"/>
                <w:b w:val="0"/>
                <w:i w:val="0"/>
                <w:sz w:val="18"/>
              </w:rPr>
              <w:t>0.3340</w:t>
            </w:r>
          </w:p>
        </w:tc>
        <w:tc>
          <w:tcPr>
            <w:tcW w:type="dxa" w:w="1440"/>
          </w:tcPr>
          <w:p>
            <w:r/>
            <w:r>
              <w:rPr>
                <w:rFonts w:ascii="Times New Roman" w:hAnsi="Times New Roman" w:eastAsia="Times New Roman"/>
                <w:b w:val="0"/>
                <w:i w:val="0"/>
                <w:sz w:val="18"/>
              </w:rPr>
              <w:t>0.2946</w:t>
            </w:r>
          </w:p>
        </w:tc>
        <w:tc>
          <w:tcPr>
            <w:tcW w:type="dxa" w:w="1440"/>
          </w:tcPr>
          <w:p>
            <w:r/>
            <w:r>
              <w:rPr>
                <w:rFonts w:ascii="Times New Roman" w:hAnsi="Times New Roman" w:eastAsia="Times New Roman"/>
                <w:b w:val="0"/>
                <w:i w:val="0"/>
                <w:sz w:val="18"/>
              </w:rPr>
              <w:t>0.4209</w:t>
            </w:r>
          </w:p>
        </w:tc>
        <w:tc>
          <w:tcPr>
            <w:tcW w:type="dxa" w:w="1440"/>
          </w:tcPr>
          <w:p>
            <w:r/>
            <w:r>
              <w:rPr>
                <w:rFonts w:ascii="Times New Roman" w:hAnsi="Times New Roman" w:eastAsia="Times New Roman"/>
                <w:b w:val="0"/>
                <w:i w:val="0"/>
                <w:sz w:val="18"/>
              </w:rPr>
              <w:t>0.5399</w:t>
            </w:r>
          </w:p>
        </w:tc>
      </w:tr>
    </w:tbl>
    <w:p>
      <w:pPr>
        <w:spacing w:before="80" w:after="200"/>
        <w:jc w:val="center"/>
      </w:pPr>
      <w:r>
        <w:rPr>
          <w:rFonts w:ascii="Times New Roman" w:hAnsi="Times New Roman" w:eastAsia="Times New Roman"/>
          <w:b w:val="0"/>
          <w:i w:val="0"/>
          <w:sz w:val="20"/>
        </w:rPr>
        <w:t>Table 3. Ablation pattern-averaged standardized MAE.</w:t>
      </w:r>
    </w:p>
    <w:p>
      <w:pPr>
        <w:spacing w:before="240" w:after="120" w:line="276" w:lineRule="auto"/>
      </w:pPr>
      <w:r>
        <w:rPr>
          <w:rFonts w:ascii="Times New Roman" w:hAnsi="Times New Roman" w:eastAsia="Times New Roman"/>
          <w:b/>
          <w:i w:val="0"/>
          <w:sz w:val="22"/>
        </w:rPr>
        <w:t>3.4. Qualitative Figures</w:t>
      </w:r>
    </w:p>
    <w:p>
      <w:pPr>
        <w:jc w:val="center"/>
      </w:pPr>
      <w:r>
        <w:drawing>
          <wp:inline xmlns:a="http://schemas.openxmlformats.org/drawingml/2006/main" xmlns:pic="http://schemas.openxmlformats.org/drawingml/2006/picture">
            <wp:extent cx="5486400" cy="1478007"/>
            <wp:docPr id="1" name="Picture 1"/>
            <wp:cNvGraphicFramePr>
              <a:graphicFrameLocks noChangeAspect="1"/>
            </wp:cNvGraphicFramePr>
            <a:graphic>
              <a:graphicData uri="http://schemas.openxmlformats.org/drawingml/2006/picture">
                <pic:pic>
                  <pic:nvPicPr>
                    <pic:cNvPr id="0" name="fig_maskview_patterns.png"/>
                    <pic:cNvPicPr/>
                  </pic:nvPicPr>
                  <pic:blipFill>
                    <a:blip r:embed="rId9"/>
                    <a:stretch>
                      <a:fillRect/>
                    </a:stretch>
                  </pic:blipFill>
                  <pic:spPr>
                    <a:xfrm>
                      <a:off x="0" y="0"/>
                      <a:ext cx="5486400" cy="1478007"/>
                    </a:xfrm>
                    <a:prstGeom prst="rect"/>
                  </pic:spPr>
                </pic:pic>
              </a:graphicData>
            </a:graphic>
          </wp:inline>
        </w:drawing>
      </w:r>
    </w:p>
    <w:p>
      <w:pPr>
        <w:spacing w:before="80" w:after="200"/>
        <w:jc w:val="center"/>
      </w:pPr>
      <w:r>
        <w:rPr>
          <w:rFonts w:ascii="Times New Roman" w:hAnsi="Times New Roman" w:eastAsia="Times New Roman"/>
          <w:b w:val="0"/>
          <w:i w:val="0"/>
          <w:sz w:val="20"/>
        </w:rPr>
        <w:t>Figure 1. Mask-View pattern bank schematic.</w:t>
      </w:r>
    </w:p>
    <w:p>
      <w:pPr>
        <w:jc w:val="center"/>
      </w:pPr>
      <w:r>
        <w:drawing>
          <wp:inline xmlns:a="http://schemas.openxmlformats.org/drawingml/2006/main" xmlns:pic="http://schemas.openxmlformats.org/drawingml/2006/picture">
            <wp:extent cx="5669280" cy="3204158"/>
            <wp:docPr id="2" name="Picture 2"/>
            <wp:cNvGraphicFramePr>
              <a:graphicFrameLocks noChangeAspect="1"/>
            </wp:cNvGraphicFramePr>
            <a:graphic>
              <a:graphicData uri="http://schemas.openxmlformats.org/drawingml/2006/picture">
                <pic:pic>
                  <pic:nvPicPr>
                    <pic:cNvPr id="0" name="fig_imputation_mae_heatmap.png"/>
                    <pic:cNvPicPr/>
                  </pic:nvPicPr>
                  <pic:blipFill>
                    <a:blip r:embed="rId10"/>
                    <a:stretch>
                      <a:fillRect/>
                    </a:stretch>
                  </pic:blipFill>
                  <pic:spPr>
                    <a:xfrm>
                      <a:off x="0" y="0"/>
                      <a:ext cx="5669280" cy="3204158"/>
                    </a:xfrm>
                    <a:prstGeom prst="rect"/>
                  </pic:spPr>
                </pic:pic>
              </a:graphicData>
            </a:graphic>
          </wp:inline>
        </w:drawing>
      </w:r>
    </w:p>
    <w:p>
      <w:pPr>
        <w:spacing w:before="80" w:after="200"/>
        <w:jc w:val="center"/>
      </w:pPr>
      <w:r>
        <w:rPr>
          <w:rFonts w:ascii="Times New Roman" w:hAnsi="Times New Roman" w:eastAsia="Times New Roman"/>
          <w:b w:val="0"/>
          <w:i w:val="0"/>
          <w:sz w:val="20"/>
        </w:rPr>
        <w:t>Figure 2. Benchmark MAE heatmap across models and settings.</w:t>
      </w:r>
    </w:p>
    <w:p>
      <w:pPr>
        <w:jc w:val="center"/>
      </w:pPr>
      <w:r>
        <w:drawing>
          <wp:inline xmlns:a="http://schemas.openxmlformats.org/drawingml/2006/main" xmlns:pic="http://schemas.openxmlformats.org/drawingml/2006/picture">
            <wp:extent cx="5486400" cy="2904565"/>
            <wp:docPr id="3" name="Picture 3"/>
            <wp:cNvGraphicFramePr>
              <a:graphicFrameLocks noChangeAspect="1"/>
            </wp:cNvGraphicFramePr>
            <a:graphic>
              <a:graphicData uri="http://schemas.openxmlformats.org/drawingml/2006/picture">
                <pic:pic>
                  <pic:nvPicPr>
                    <pic:cNvPr id="0" name="fig_ablation_pattern_spatial.png"/>
                    <pic:cNvPicPr/>
                  </pic:nvPicPr>
                  <pic:blipFill>
                    <a:blip r:embed="rId11"/>
                    <a:stretch>
                      <a:fillRect/>
                    </a:stretch>
                  </pic:blipFill>
                  <pic:spPr>
                    <a:xfrm>
                      <a:off x="0" y="0"/>
                      <a:ext cx="5486400" cy="2904565"/>
                    </a:xfrm>
                    <a:prstGeom prst="rect"/>
                  </pic:spPr>
                </pic:pic>
              </a:graphicData>
            </a:graphic>
          </wp:inline>
        </w:drawing>
      </w:r>
    </w:p>
    <w:p>
      <w:pPr>
        <w:spacing w:before="80" w:after="200"/>
        <w:jc w:val="center"/>
      </w:pPr>
      <w:r>
        <w:rPr>
          <w:rFonts w:ascii="Times New Roman" w:hAnsi="Times New Roman" w:eastAsia="Times New Roman"/>
          <w:b w:val="0"/>
          <w:i w:val="0"/>
          <w:sz w:val="20"/>
        </w:rPr>
        <w:t>Figure 3. Pattern-bank and spatial-upgrade ablation.</w:t>
      </w:r>
    </w:p>
    <w:p>
      <w:pPr>
        <w:jc w:val="center"/>
      </w:pPr>
      <w:r>
        <w:drawing>
          <wp:inline xmlns:a="http://schemas.openxmlformats.org/drawingml/2006/main" xmlns:pic="http://schemas.openxmlformats.org/drawingml/2006/picture">
            <wp:extent cx="5486400" cy="1975104"/>
            <wp:docPr id="4" name="Picture 4"/>
            <wp:cNvGraphicFramePr>
              <a:graphicFrameLocks noChangeAspect="1"/>
            </wp:cNvGraphicFramePr>
            <a:graphic>
              <a:graphicData uri="http://schemas.openxmlformats.org/drawingml/2006/picture">
                <pic:pic>
                  <pic:nvPicPr>
                    <pic:cNvPr id="0" name="fig_imputation_example_DO.png"/>
                    <pic:cNvPicPr/>
                  </pic:nvPicPr>
                  <pic:blipFill>
                    <a:blip r:embed="rId12"/>
                    <a:stretch>
                      <a:fillRect/>
                    </a:stretch>
                  </pic:blipFill>
                  <pic:spPr>
                    <a:xfrm>
                      <a:off x="0" y="0"/>
                      <a:ext cx="5486400" cy="1975104"/>
                    </a:xfrm>
                    <a:prstGeom prst="rect"/>
                  </pic:spPr>
                </pic:pic>
              </a:graphicData>
            </a:graphic>
          </wp:inline>
        </w:drawing>
      </w:r>
    </w:p>
    <w:p>
      <w:pPr>
        <w:spacing w:before="80" w:after="200"/>
        <w:jc w:val="center"/>
      </w:pPr>
      <w:r>
        <w:rPr>
          <w:rFonts w:ascii="Times New Roman" w:hAnsi="Times New Roman" w:eastAsia="Times New Roman"/>
          <w:b w:val="0"/>
          <w:i w:val="0"/>
          <w:sz w:val="20"/>
        </w:rPr>
        <w:t>Figure 4. Example DO reconstruction on a held-out window.</w:t>
      </w:r>
    </w:p>
    <w:p>
      <w:pPr>
        <w:spacing w:before="240" w:after="120" w:line="276" w:lineRule="auto"/>
      </w:pPr>
      <w:r>
        <w:rPr>
          <w:rFonts w:ascii="Times New Roman" w:hAnsi="Times New Roman" w:eastAsia="Times New Roman"/>
          <w:b/>
          <w:i w:val="0"/>
          <w:sz w:val="24"/>
        </w:rPr>
        <w:t>4. Discussion</w:t>
      </w:r>
    </w:p>
    <w:p>
      <w:pPr>
        <w:spacing w:line="480" w:lineRule="auto"/>
        <w:ind w:firstLine="360"/>
      </w:pPr>
      <w:r>
        <w:rPr>
          <w:rFonts w:ascii="Times New Roman" w:hAnsi="Times New Roman" w:eastAsia="Times New Roman"/>
          <w:b w:val="0"/>
          <w:i w:val="0"/>
          <w:sz w:val="22"/>
        </w:rPr>
        <w:t>The central message is conditional value. Linear interpolation remains competitive—and often optimal—when gaps are short, reflecting the smoothness of 4-hourly water-quality dynamics. Under sensor and station failures, temporal continuity alone fails and cross-variable / spatial context becomes decisive; this is exactly where Mask-View training and graph aggregation help. Reporting only MCAR protocols would have obscured this distinction and produced misleading rankings favoring classical interpolators.</w:t>
      </w:r>
    </w:p>
    <w:p>
      <w:pPr>
        <w:spacing w:line="480" w:lineRule="auto"/>
        <w:ind w:firstLine="360"/>
      </w:pPr>
      <w:r>
        <w:rPr>
          <w:rFonts w:ascii="Times New Roman" w:hAnsi="Times New Roman" w:eastAsia="Times New Roman"/>
          <w:b w:val="0"/>
          <w:i w:val="0"/>
          <w:sz w:val="22"/>
        </w:rPr>
        <w:t>The residual station gap relative to BRITS is informative rather than embarrassing: when all stations are flattened into a single feature vector, bidirectional recurrent models can mix cross-station channels very aggressively, whereas a local graph must move information along edges. Closing this gap further likely requires multi-scale graphs, station-conditioned decoders or hybrid tokenization—not merely larger λ_cons. Limitations include the use of StemGNN as a GRIN proxy, the absence of meteorological forcings in the public release, and the lack of chlorophyll-a for direct bloom forecasting (nutrient–turbidity proxies only).</w:t>
      </w:r>
    </w:p>
    <w:p>
      <w:pPr>
        <w:spacing w:before="240" w:after="120" w:line="276" w:lineRule="auto"/>
      </w:pPr>
      <w:r>
        <w:rPr>
          <w:rFonts w:ascii="Times New Roman" w:hAnsi="Times New Roman" w:eastAsia="Times New Roman"/>
          <w:b/>
          <w:i w:val="0"/>
          <w:sz w:val="24"/>
        </w:rPr>
        <w:t>5. Conclusions</w:t>
      </w:r>
    </w:p>
    <w:p>
      <w:pPr>
        <w:spacing w:line="480" w:lineRule="auto"/>
        <w:ind w:firstLine="360"/>
      </w:pPr>
      <w:r>
        <w:rPr>
          <w:rFonts w:ascii="Times New Roman" w:hAnsi="Times New Roman" w:eastAsia="Times New Roman"/>
          <w:b w:val="0"/>
          <w:i w:val="0"/>
          <w:sz w:val="22"/>
        </w:rPr>
        <w:t>We presented Mask-View spatiotemporal imputation for block-missing automatic water-quality networks and a reproducible Dianchi benchmark. MaskView-ST and its spatial upgrade deliver state-of-the-art average and DO accuracy among compared methods, with clear gains under sensor dropout and structured missingness. Ablations confirm that the operational pattern bank—not merely model capacity—is essential. The recommended recipe for practice is spatial_plus_l0: MixHop graph encoding, denser station connectivity, station-pattern upsampling and λ_cons = 0. Future work will couple imputed series to hypoxia early-warning decision metrics and release a competition-style leaderboard.</w:t>
      </w:r>
    </w:p>
    <w:p>
      <w:pPr>
        <w:spacing w:before="240" w:after="120" w:line="276" w:lineRule="auto"/>
      </w:pPr>
      <w:r>
        <w:rPr>
          <w:rFonts w:ascii="Times New Roman" w:hAnsi="Times New Roman" w:eastAsia="Times New Roman"/>
          <w:b/>
          <w:i w:val="0"/>
          <w:sz w:val="24"/>
        </w:rPr>
        <w:t>Author Contributions</w:t>
      </w:r>
    </w:p>
    <w:p>
      <w:pPr>
        <w:spacing w:line="480" w:lineRule="auto"/>
        <w:ind w:firstLine="360"/>
      </w:pPr>
      <w:r>
        <w:rPr>
          <w:rFonts w:ascii="Times New Roman" w:hAnsi="Times New Roman" w:eastAsia="Times New Roman"/>
          <w:b w:val="0"/>
          <w:i w:val="0"/>
          <w:sz w:val="22"/>
        </w:rPr>
        <w:t>Conceptualization, X.X. and Y.Y.; methodology, X.X.; software, X.X.; validation, X.X.; formal analysis, X.X.; data curation, X.X.; writing—original draft, X.X.; writing—review and editing, Y.Y.; visualization, X.X.; supervision, Y.Y. All authors have read and agreed to the published version of the manuscript. (Replace initials before submission.)</w:t>
      </w:r>
    </w:p>
    <w:p>
      <w:pPr>
        <w:spacing w:before="240" w:after="120" w:line="276" w:lineRule="auto"/>
      </w:pPr>
      <w:r>
        <w:rPr>
          <w:rFonts w:ascii="Times New Roman" w:hAnsi="Times New Roman" w:eastAsia="Times New Roman"/>
          <w:b/>
          <w:i w:val="0"/>
          <w:sz w:val="24"/>
        </w:rPr>
        <w:t>Funding</w:t>
      </w:r>
    </w:p>
    <w:p>
      <w:pPr>
        <w:spacing w:line="480" w:lineRule="auto"/>
        <w:ind w:firstLine="360"/>
      </w:pPr>
      <w:r>
        <w:rPr>
          <w:rFonts w:ascii="Times New Roman" w:hAnsi="Times New Roman" w:eastAsia="Times New Roman"/>
          <w:b w:val="0"/>
          <w:i w:val="0"/>
          <w:sz w:val="22"/>
        </w:rPr>
        <w:t>This research received no external funding. / Funded by [Grant], number [###].</w:t>
      </w:r>
    </w:p>
    <w:p>
      <w:pPr>
        <w:spacing w:before="240" w:after="120" w:line="276" w:lineRule="auto"/>
      </w:pPr>
      <w:r>
        <w:rPr>
          <w:rFonts w:ascii="Times New Roman" w:hAnsi="Times New Roman" w:eastAsia="Times New Roman"/>
          <w:b/>
          <w:i w:val="0"/>
          <w:sz w:val="24"/>
        </w:rPr>
        <w:t>Data Availability Statement</w:t>
      </w:r>
    </w:p>
    <w:p>
      <w:pPr>
        <w:spacing w:line="480" w:lineRule="auto"/>
        <w:ind w:firstLine="360"/>
      </w:pPr>
      <w:r>
        <w:rPr>
          <w:rFonts w:ascii="Times New Roman" w:hAnsi="Times New Roman" w:eastAsia="Times New Roman"/>
          <w:b w:val="0"/>
          <w:i w:val="0"/>
          <w:sz w:val="22"/>
        </w:rPr>
        <w:t>The Dianchi-Water dataset is openly available at https://huggingface.co/datasets/anonymous-dianchi-2026/dianchi-water (accessed on 8 August 2026). Code, tables and the manuscript sources are available at the project repository dianchi-maskview-imputation.</w:t>
      </w:r>
    </w:p>
    <w:p>
      <w:pPr>
        <w:spacing w:before="240" w:after="120" w:line="276" w:lineRule="auto"/>
      </w:pPr>
      <w:r>
        <w:rPr>
          <w:rFonts w:ascii="Times New Roman" w:hAnsi="Times New Roman" w:eastAsia="Times New Roman"/>
          <w:b/>
          <w:i w:val="0"/>
          <w:sz w:val="24"/>
        </w:rPr>
        <w:t>Acknowledgments</w:t>
      </w:r>
    </w:p>
    <w:p>
      <w:pPr>
        <w:spacing w:line="480" w:lineRule="auto"/>
        <w:ind w:firstLine="360"/>
      </w:pPr>
      <w:r>
        <w:rPr>
          <w:rFonts w:ascii="Times New Roman" w:hAnsi="Times New Roman" w:eastAsia="Times New Roman"/>
          <w:b w:val="0"/>
          <w:i w:val="0"/>
          <w:sz w:val="22"/>
        </w:rPr>
        <w:t>The authors thank the compilers of the open Dianchi monitoring dataset and the CNEMC automatic monitoring data release system.</w:t>
      </w:r>
    </w:p>
    <w:p>
      <w:pPr>
        <w:spacing w:before="240" w:after="120" w:line="276" w:lineRule="auto"/>
      </w:pPr>
      <w:r>
        <w:rPr>
          <w:rFonts w:ascii="Times New Roman" w:hAnsi="Times New Roman" w:eastAsia="Times New Roman"/>
          <w:b/>
          <w:i w:val="0"/>
          <w:sz w:val="24"/>
        </w:rPr>
        <w:t>Conflicts of Interest</w:t>
      </w:r>
    </w:p>
    <w:p>
      <w:pPr>
        <w:spacing w:line="480" w:lineRule="auto"/>
        <w:ind w:firstLine="360"/>
      </w:pPr>
      <w:r>
        <w:rPr>
          <w:rFonts w:ascii="Times New Roman" w:hAnsi="Times New Roman" w:eastAsia="Times New Roman"/>
          <w:b w:val="0"/>
          <w:i w:val="0"/>
          <w:sz w:val="22"/>
        </w:rPr>
        <w:t>The authors declare no conflicts of interest.</w:t>
      </w:r>
    </w:p>
    <w:p>
      <w:pPr>
        <w:spacing w:before="240" w:after="120" w:line="276" w:lineRule="auto"/>
      </w:pPr>
      <w:r>
        <w:rPr>
          <w:rFonts w:ascii="Times New Roman" w:hAnsi="Times New Roman" w:eastAsia="Times New Roman"/>
          <w:b/>
          <w:i w:val="0"/>
          <w:sz w:val="24"/>
        </w:rPr>
        <w:t>Abbreviations</w:t>
      </w:r>
    </w:p>
    <w:p>
      <w:pPr>
        <w:spacing w:line="480" w:lineRule="auto"/>
        <w:ind w:firstLine="360"/>
      </w:pPr>
      <w:r>
        <w:rPr>
          <w:rFonts w:ascii="Times New Roman" w:hAnsi="Times New Roman" w:eastAsia="Times New Roman"/>
          <w:b w:val="0"/>
          <w:i w:val="0"/>
          <w:sz w:val="22"/>
        </w:rPr>
        <w:t>DO—Dissolved Oxygen; MAE—Mean Absolute Error; MCAR—Missing Completely At Random; CNEMC—China National Environmental Monitoring Center; GNN—Graph Neural Network.</w:t>
      </w:r>
    </w:p>
    <w:p>
      <w:pPr>
        <w:spacing w:before="240" w:after="120" w:line="276" w:lineRule="auto"/>
      </w:pPr>
      <w:r>
        <w:rPr>
          <w:rFonts w:ascii="Times New Roman" w:hAnsi="Times New Roman" w:eastAsia="Times New Roman"/>
          <w:b/>
          <w:i w:val="0"/>
          <w:sz w:val="24"/>
        </w:rPr>
        <w:t>References</w:t>
      </w:r>
    </w:p>
    <w:p>
      <w:pPr>
        <w:spacing w:after="60" w:line="276" w:lineRule="auto"/>
        <w:ind w:left="360" w:hanging="360"/>
      </w:pPr>
      <w:r>
        <w:rPr>
          <w:rFonts w:ascii="Times New Roman" w:hAnsi="Times New Roman" w:eastAsia="Times New Roman"/>
          <w:b w:val="0"/>
          <w:i w:val="0"/>
          <w:sz w:val="20"/>
        </w:rPr>
        <w:t>[1] Anonymous. dianchi-water: High-frequency multi-station surface water quality dataset for the Dianchi Lake basin (2022–2024). Hugging Face Datasets. Available online: https://huggingface.co/datasets/anonymous-dianchi-2026/dianchi-water (accessed on 8 August 2026).</w:t>
      </w:r>
    </w:p>
    <w:p>
      <w:pPr>
        <w:spacing w:after="60" w:line="276" w:lineRule="auto"/>
        <w:ind w:left="360" w:hanging="360"/>
      </w:pPr>
      <w:r>
        <w:rPr>
          <w:rFonts w:ascii="Times New Roman" w:hAnsi="Times New Roman" w:eastAsia="Times New Roman"/>
          <w:b w:val="0"/>
          <w:i w:val="0"/>
          <w:sz w:val="20"/>
        </w:rPr>
        <w:t>[2] China National Environmental Monitoring Center (CNEMC). National Surface Water Quality Automatic Monitoring Data Release System. Available online: https://szzdjc.cnemc.cn (accessed on 8 August 2026).</w:t>
      </w:r>
    </w:p>
    <w:p>
      <w:pPr>
        <w:spacing w:after="60" w:line="276" w:lineRule="auto"/>
        <w:ind w:left="360" w:hanging="360"/>
      </w:pPr>
      <w:r>
        <w:rPr>
          <w:rFonts w:ascii="Times New Roman" w:hAnsi="Times New Roman" w:eastAsia="Times New Roman"/>
          <w:b w:val="0"/>
          <w:i w:val="0"/>
          <w:sz w:val="20"/>
        </w:rPr>
        <w:t>[3] Cao, W.; Wang, D.; Li, J.; Zhou, H.; Li, L.; Li, Y. BRITS: Bidirectional Recurrent Imputation for Time Series. In Advances in Neural Information Processing Systems; 2018.</w:t>
      </w:r>
    </w:p>
    <w:p>
      <w:pPr>
        <w:spacing w:after="60" w:line="276" w:lineRule="auto"/>
        <w:ind w:left="360" w:hanging="360"/>
      </w:pPr>
      <w:r>
        <w:rPr>
          <w:rFonts w:ascii="Times New Roman" w:hAnsi="Times New Roman" w:eastAsia="Times New Roman"/>
          <w:b w:val="0"/>
          <w:i w:val="0"/>
          <w:sz w:val="20"/>
        </w:rPr>
        <w:t>[4] Du, W.; Côté, D.; Liu, Y. SAITS: Self-Attention-based Imputation for Time Series. Expert Syst. Appl. 2023, 219, 119619.</w:t>
      </w:r>
    </w:p>
    <w:p>
      <w:pPr>
        <w:spacing w:after="60" w:line="276" w:lineRule="auto"/>
        <w:ind w:left="360" w:hanging="360"/>
      </w:pPr>
      <w:r>
        <w:rPr>
          <w:rFonts w:ascii="Times New Roman" w:hAnsi="Times New Roman" w:eastAsia="Times New Roman"/>
          <w:b w:val="0"/>
          <w:i w:val="0"/>
          <w:sz w:val="20"/>
        </w:rPr>
        <w:t>[5] Tashiro, Y.; Song, J.; Song, Y.; Ermon, S. CSDI: Conditional Score-based Diffusion Models for Probabilistic Time Series Imputation. In Advances in Neural Information Processing Systems; 2021.</w:t>
      </w:r>
    </w:p>
    <w:p>
      <w:pPr>
        <w:spacing w:after="60" w:line="276" w:lineRule="auto"/>
        <w:ind w:left="360" w:hanging="360"/>
      </w:pPr>
      <w:r>
        <w:rPr>
          <w:rFonts w:ascii="Times New Roman" w:hAnsi="Times New Roman" w:eastAsia="Times New Roman"/>
          <w:b w:val="0"/>
          <w:i w:val="0"/>
          <w:sz w:val="20"/>
        </w:rPr>
        <w:t>[6] Cini, A.; Marisca, I.; Alippi, C. Filling the GApS: Multivariate Time Series Imputation by Graph Neural Networks. In International Conference on Learning Representations; 2022. (GRIN).</w:t>
      </w:r>
    </w:p>
    <w:p>
      <w:pPr>
        <w:spacing w:after="60" w:line="276" w:lineRule="auto"/>
        <w:ind w:left="360" w:hanging="360"/>
      </w:pPr>
      <w:r>
        <w:rPr>
          <w:rFonts w:ascii="Times New Roman" w:hAnsi="Times New Roman" w:eastAsia="Times New Roman"/>
          <w:b w:val="0"/>
          <w:i w:val="0"/>
          <w:sz w:val="20"/>
        </w:rPr>
        <w:t>[7] Ke, G.; Meng, Q.; Finley, T.; Wang, T.; Chen, W.; Ma, W.; Ye, Q.; Liu, T.-Y. LightGBM: A Highly Efficient Gradient Boosting Decision Tree. In Advances in Neural Information Processing Systems; 2017.</w:t>
      </w:r>
    </w:p>
    <w:p>
      <w:pPr>
        <w:spacing w:after="60" w:line="276" w:lineRule="auto"/>
        <w:ind w:left="360" w:hanging="360"/>
      </w:pPr>
      <w:r>
        <w:rPr>
          <w:rFonts w:ascii="Times New Roman" w:hAnsi="Times New Roman" w:eastAsia="Times New Roman"/>
          <w:b w:val="0"/>
          <w:i w:val="0"/>
          <w:sz w:val="20"/>
        </w:rPr>
        <w:t>[8] Wilks, D.S. Statistical Methods in the Atmospheric Sciences, 4th ed.; Elsevier: Amsterdam, The Netherlands, 2019.</w:t>
      </w:r>
    </w:p>
    <w:p>
      <w:pPr>
        <w:spacing w:after="60" w:line="276" w:lineRule="auto"/>
        <w:ind w:left="360" w:hanging="360"/>
      </w:pPr>
      <w:r>
        <w:rPr>
          <w:rFonts w:ascii="Times New Roman" w:hAnsi="Times New Roman" w:eastAsia="Times New Roman"/>
          <w:b w:val="0"/>
          <w:i w:val="0"/>
          <w:sz w:val="20"/>
        </w:rPr>
        <w:t>[9] Ahmed, A.N.; et al. Machine learning methods for better water quality prediction. J. Hydrol. 2019.</w:t>
      </w:r>
    </w:p>
    <w:p>
      <w:pPr>
        <w:spacing w:after="60" w:line="276" w:lineRule="auto"/>
        <w:ind w:left="360" w:hanging="360"/>
      </w:pPr>
      <w:r>
        <w:rPr>
          <w:rFonts w:ascii="Times New Roman" w:hAnsi="Times New Roman" w:eastAsia="Times New Roman"/>
          <w:b w:val="0"/>
          <w:i w:val="0"/>
          <w:sz w:val="20"/>
        </w:rPr>
        <w:t>[10] Chen, Y.; et al. Applications of machine learning to water quality modelling—expand with Dianchi and DO case studies before submission.</w:t>
      </w:r>
    </w:p>
    <w:p>
      <w:pPr>
        <w:spacing w:after="60" w:line="276" w:lineRule="auto"/>
        <w:ind w:left="360" w:hanging="360"/>
      </w:pPr>
      <w:r>
        <w:rPr>
          <w:rFonts w:ascii="Times New Roman" w:hAnsi="Times New Roman" w:eastAsia="Times New Roman"/>
          <w:b w:val="0"/>
          <w:i w:val="0"/>
          <w:sz w:val="20"/>
        </w:rPr>
        <w:t>[11] MDPI. Instructions for Authors—Water. Available online: https://www.mdpi.com/journal/water/instructions (accessed on 8 August 2026).</w:t>
      </w:r>
    </w:p>
    <w:p>
      <w:pPr>
        <w:spacing w:after="60" w:line="276" w:lineRule="auto"/>
        <w:ind w:left="360" w:hanging="360"/>
      </w:pPr>
      <w:r>
        <w:rPr>
          <w:rFonts w:ascii="Times New Roman" w:hAnsi="Times New Roman" w:eastAsia="Times New Roman"/>
          <w:b w:val="0"/>
          <w:i w:val="0"/>
          <w:sz w:val="20"/>
        </w:rPr>
        <w:t>[12] PyPOTS Development Team. PyPOTS: A Python Toolbox for Data Mining on Partially-Observed Time Series. Available online: https://pypots.com (accessed on 8 August 2026).</w:t>
      </w:r>
    </w:p>
    <w:p>
      <w:pPr>
        <w:spacing w:after="60" w:line="276" w:lineRule="auto"/>
        <w:ind w:left="360" w:hanging="360"/>
      </w:pPr>
      <w:r>
        <w:rPr>
          <w:rFonts w:ascii="Times New Roman" w:hAnsi="Times New Roman" w:eastAsia="Times New Roman"/>
          <w:b w:val="0"/>
          <w:i w:val="0"/>
          <w:sz w:val="20"/>
        </w:rPr>
        <w:t>[13] Please expand to 30–40 domain references (Dianchi eutrophication, hypoxia warning, CN surface-water standards, imputation surveys) before SuSy upload.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