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Information bottlenecks, not architectures: a cross-media protocol for mid-range environmental forecasts</w:t>
      </w:r>
    </w:p>
    <w:p>
      <w:pPr>
        <w:spacing w:after="120"/>
        <w:jc w:val="center"/>
      </w:pPr>
      <w:r>
        <w:rPr>
          <w:rFonts w:ascii="Times New Roman" w:hAnsi="Times New Roman" w:eastAsia="Times New Roman"/>
          <w:b w:val="0"/>
          <w:i w:val="0"/>
          <w:sz w:val="22"/>
        </w:rPr>
        <w:t>Senjie Zhang 1,*</w:t>
      </w:r>
    </w:p>
    <w:p>
      <w:pPr>
        <w:spacing w:after="120"/>
        <w:jc w:val="center"/>
      </w:pPr>
      <w:r>
        <w:rPr>
          <w:rFonts w:ascii="Times New Roman" w:hAnsi="Times New Roman" w:eastAsia="Times New Roman"/>
          <w:b w:val="0"/>
          <w:i/>
          <w:sz w:val="20"/>
        </w:rPr>
        <w:t>(张森捷)</w:t>
      </w:r>
    </w:p>
    <w:p>
      <w:pPr>
        <w:spacing w:after="120"/>
        <w:jc w:val="center"/>
      </w:pPr>
      <w:r>
        <w:rPr>
          <w:rFonts w:ascii="Times New Roman" w:hAnsi="Times New Roman" w:eastAsia="Times New Roman"/>
          <w:b w:val="0"/>
          <w:i/>
          <w:sz w:val="20"/>
        </w:rPr>
        <w:t>1 Lanzhou University, Lanzhou 730000, Gansu, China</w:t>
      </w:r>
    </w:p>
    <w:p>
      <w:pPr>
        <w:spacing w:after="120"/>
        <w:jc w:val="center"/>
      </w:pPr>
      <w:r>
        <w:rPr>
          <w:rFonts w:ascii="Times New Roman" w:hAnsi="Times New Roman" w:eastAsia="Times New Roman"/>
          <w:b w:val="0"/>
          <w:i/>
          <w:sz w:val="20"/>
        </w:rPr>
        <w:t>*Correspondence: 3079099853@qq.com</w:t>
      </w:r>
    </w:p>
    <w:p>
      <w:pPr>
        <w:spacing w:after="160"/>
        <w:jc w:val="center"/>
      </w:pPr>
      <w:r>
        <w:rPr>
          <w:rFonts w:ascii="Times New Roman" w:hAnsi="Times New Roman" w:eastAsia="Times New Roman"/>
          <w:b w:val="0"/>
          <w:i/>
          <w:sz w:val="18"/>
        </w:rPr>
        <w:t>Journal: Ecological Informatics (Elsevier)  ·  Article type: Research paper</w:t>
      </w:r>
    </w:p>
    <w:p>
      <w:r>
        <w:rPr>
          <w:rFonts w:ascii="Times New Roman" w:hAnsi="Times New Roman" w:eastAsia="Times New Roman"/>
          <w:b w:val="0"/>
          <w:i/>
          <w:color w:val="666666"/>
          <w:sz w:val="18"/>
        </w:rPr>
        <w:t>Elsevier does not require a journal-specific Word template. Numeric results are locked to data/frozen/ in the companion repository.</w:t>
      </w:r>
    </w:p>
    <w:p>
      <w:pPr>
        <w:spacing w:before="240" w:after="120"/>
      </w:pPr>
      <w:r>
        <w:rPr>
          <w:rFonts w:ascii="Times New Roman" w:hAnsi="Times New Roman" w:eastAsia="Times New Roman"/>
          <w:b/>
          <w:i w:val="0"/>
          <w:sz w:val="24"/>
        </w:rPr>
        <w:t>Highlights</w:t>
      </w:r>
    </w:p>
    <w:p>
      <w:pPr>
        <w:spacing w:after="40"/>
      </w:pPr>
      <w:r>
        <w:rPr>
          <w:rFonts w:ascii="Times New Roman" w:hAnsi="Times New Roman" w:eastAsia="Times New Roman"/>
          <w:b w:val="0"/>
          <w:i w:val="0"/>
          <w:sz w:val="22"/>
        </w:rPr>
        <w:t>• Protocol: domain baseline, event score, information ceiling, failure locus.</w:t>
      </w:r>
    </w:p>
    <w:p>
      <w:pPr>
        <w:spacing w:after="40"/>
      </w:pPr>
      <w:r>
        <w:rPr>
          <w:rFonts w:ascii="Times New Roman" w:hAnsi="Times New Roman" w:eastAsia="Times New Roman"/>
          <w:b w:val="0"/>
          <w:i w:val="0"/>
          <w:sz w:val="22"/>
        </w:rPr>
        <w:t>• Gauge value is climate-conditional: James ΔNSE +0.13 vs Willamette ~0.</w:t>
      </w:r>
    </w:p>
    <w:p>
      <w:pPr>
        <w:spacing w:after="40"/>
      </w:pPr>
      <w:r>
        <w:rPr>
          <w:rFonts w:ascii="Times New Roman" w:hAnsi="Times New Roman" w:eastAsia="Times New Roman"/>
          <w:b w:val="0"/>
          <w:i w:val="0"/>
          <w:sz w:val="22"/>
        </w:rPr>
        <w:t>• Verde LSTM loses to linear routing (NSE 0.39 versus 0.61).</w:t>
      </w:r>
    </w:p>
    <w:p>
      <w:pPr>
        <w:spacing w:after="40"/>
      </w:pPr>
      <w:r>
        <w:rPr>
          <w:rFonts w:ascii="Times New Roman" w:hAnsi="Times New Roman" w:eastAsia="Times New Roman"/>
          <w:b w:val="0"/>
          <w:i w:val="0"/>
          <w:sz w:val="22"/>
        </w:rPr>
        <w:t>• Oracle rain adds ~0 NSE at 1 day but +0.20 at 7 days.</w:t>
      </w:r>
    </w:p>
    <w:p>
      <w:pPr>
        <w:spacing w:after="40"/>
      </w:pPr>
      <w:r>
        <w:rPr>
          <w:rFonts w:ascii="Times New Roman" w:hAnsi="Times New Roman" w:eastAsia="Times New Roman"/>
          <w:b w:val="0"/>
          <w:i w:val="0"/>
          <w:sz w:val="22"/>
        </w:rPr>
        <w:t>• Oxygen Transformer wins at 1 month; climatology takes over later.</w:t>
      </w:r>
    </w:p>
    <w:p>
      <w:r>
        <w:rPr>
          <w:rFonts w:ascii="Times New Roman" w:hAnsi="Times New Roman" w:eastAsia="Times New Roman"/>
          <w:b w:val="0"/>
          <w:i/>
          <w:sz w:val="16"/>
        </w:rPr>
        <w:t>(Each highlight ≤85 characters, Elsevier style.)</w:t>
      </w:r>
    </w:p>
    <w:p>
      <w:pPr>
        <w:spacing w:before="240" w:after="120"/>
      </w:pPr>
      <w:r>
        <w:rPr>
          <w:rFonts w:ascii="Times New Roman" w:hAnsi="Times New Roman" w:eastAsia="Times New Roman"/>
          <w:b/>
          <w:i w:val="0"/>
          <w:sz w:val="24"/>
        </w:rPr>
        <w:t>Abstract</w:t>
      </w:r>
    </w:p>
    <w:p>
      <w:pPr>
        <w:spacing w:line="480" w:lineRule="auto"/>
        <w:ind w:firstLine="360"/>
      </w:pPr>
      <w:r>
        <w:rPr>
          <w:rFonts w:ascii="Times New Roman" w:hAnsi="Times New Roman" w:eastAsia="Times New Roman"/>
          <w:b w:val="0"/>
          <w:i w:val="0"/>
          <w:sz w:val="22"/>
        </w:rPr>
        <w:t>Learned environmental forecasts are often reported as a new network beating persistence on one basin or shelf. We instead ask a transferable question: relative to a simple domain baseline, where does a learned model add decision skill, and which missing information caps that skill? One evaluation grammar is applied to two media. On five USGS rivers spanning humid, snowmelt and semi-arid climates, lagged-upstream linear routing already captures most next-day Nash–Sutcliffe efficiency. Upstream gauges add substantial information only on the James (ΔNSE +0.13) and almost none on the Willamette. Perfect future precipitation raises 3- and 7-day NSE by +0.12 and +0.20 and adds nothing at 1 day, so the weekly bottleneck is foresight rather than architecture. P90 flood critical success index of the learned model is 0.75 / 0.29 / 0.26 at 1 / 3 / 7 days, while routing CSI falls to 0.04 at 7 days. On an East China Sea shelf oxygen cube, a spatiotemporal Transformer beats climatology at 1 month (RMSE 3.876 versus 5.30 µmol kg⁻¹) but a climatology–Transformer hybrid is required at 2 months, and Argo-like history raises lead-1 RMSE by about 35%. Residuals concentrate in the coastal tercile. The contribution is the protocol—simple baseline, event score, information ceiling, failure locus—not a universal sequence model.</w:t>
      </w:r>
    </w:p>
    <w:p>
      <w:pPr>
        <w:spacing w:before="240" w:after="120"/>
      </w:pPr>
      <w:r>
        <w:rPr>
          <w:rFonts w:ascii="Times New Roman" w:hAnsi="Times New Roman" w:eastAsia="Times New Roman"/>
          <w:b/>
          <w:i w:val="0"/>
          <w:sz w:val="24"/>
        </w:rPr>
        <w:t>Keywords</w:t>
      </w:r>
    </w:p>
    <w:p>
      <w:r>
        <w:rPr>
          <w:rFonts w:ascii="Times New Roman" w:hAnsi="Times New Roman" w:eastAsia="Times New Roman"/>
          <w:b w:val="0"/>
          <w:i w:val="0"/>
          <w:sz w:val="22"/>
        </w:rPr>
        <w:t>environmental forecasting; information value; streamflow; dissolved oxygen; hypoxia; critical success index; climatology; sparse observations</w:t>
      </w:r>
    </w:p>
    <w:p>
      <w:pPr>
        <w:spacing w:before="240" w:after="120"/>
      </w:pPr>
      <w:r>
        <w:rPr>
          <w:rFonts w:ascii="Times New Roman" w:hAnsi="Times New Roman" w:eastAsia="Times New Roman"/>
          <w:b/>
          <w:i w:val="0"/>
          <w:sz w:val="24"/>
        </w:rPr>
        <w:t>1. Introduction</w:t>
      </w:r>
    </w:p>
    <w:p>
      <w:pPr>
        <w:spacing w:line="480" w:lineRule="auto"/>
        <w:ind w:firstLine="360"/>
      </w:pPr>
      <w:r>
        <w:rPr>
          <w:rFonts w:ascii="Times New Roman" w:hAnsi="Times New Roman" w:eastAsia="Times New Roman"/>
          <w:b w:val="0"/>
          <w:i w:val="0"/>
          <w:sz w:val="22"/>
        </w:rPr>
        <w:t>Short-range river forecasting with recurrent networks and monthly coastal-oxygen prediction look like separate literatures. Both, however, are frequently written as “model X on region Y.” Without a baseline that a hydrologist or oceanographer already trusts, without an event score tied to a decision, and without a test of what information is missing, such papers read as case studies even when the experiments are careful [1–3].</w:t>
      </w:r>
    </w:p>
    <w:p>
      <w:pPr>
        <w:spacing w:line="480" w:lineRule="auto"/>
        <w:ind w:firstLine="360"/>
      </w:pPr>
      <w:r>
        <w:rPr>
          <w:rFonts w:ascii="Times New Roman" w:hAnsi="Times New Roman" w:eastAsia="Times New Roman"/>
          <w:b w:val="0"/>
          <w:i w:val="0"/>
          <w:sz w:val="22"/>
        </w:rPr>
        <w:t>The gap is not another encoder. It is a grammar for information value that a reader in another basin or another ocean can falsify. We require four ingredients on every figure: (i) persistence; (ii) a domain-simple baseline—lagged-upstream linear routing for rivers [4] and month-of-year climatology for oxygen; (iii) a decision metric—P90 flood critical success index (CSI) [5] and hypoxia-style F1/CSI; (iv) an explicit bottleneck test—oracle precipitation, dense versus Argo-like oxygen history, and coastal residual maps. Learned models are instruments, not the claim.</w:t>
      </w:r>
    </w:p>
    <w:p>
      <w:pPr>
        <w:spacing w:line="480" w:lineRule="auto"/>
        <w:ind w:firstLine="360"/>
      </w:pPr>
      <w:r>
        <w:rPr>
          <w:rFonts w:ascii="Times New Roman" w:hAnsi="Times New Roman" w:eastAsia="Times New Roman"/>
          <w:b w:val="0"/>
          <w:i w:val="0"/>
          <w:sz w:val="22"/>
        </w:rPr>
        <w:t>Rivers use public USGS discharge with Open-Meteo / GFS precipitation on the Potomac, James, Willamette, Animas and Verde. The ocean experiments use a WOA-informed East China Sea shelf oxygen cube with temperature, salinity, OISST and ERA5-backed wind at 1–3 month leads. The oxygen target is a development cube, not GOBAI-O2 [6]; that limitation bounds process claims, not the protocol. Daily estuary hypoxia AI [7] is a related but shorter-range task.</w:t>
      </w:r>
    </w:p>
    <w:p>
      <w:pPr>
        <w:spacing w:before="240" w:after="120"/>
      </w:pPr>
      <w:r>
        <w:rPr>
          <w:rFonts w:ascii="Times New Roman" w:hAnsi="Times New Roman" w:eastAsia="Times New Roman"/>
          <w:b/>
          <w:i w:val="0"/>
          <w:sz w:val="24"/>
        </w:rPr>
        <w:t>2. Methods</w:t>
      </w:r>
    </w:p>
    <w:p>
      <w:pPr>
        <w:spacing w:before="240" w:after="120"/>
      </w:pPr>
      <w:r>
        <w:rPr>
          <w:rFonts w:ascii="Times New Roman" w:hAnsi="Times New Roman" w:eastAsia="Times New Roman"/>
          <w:b/>
          <w:i w:val="0"/>
          <w:sz w:val="22"/>
        </w:rPr>
        <w:t>2.1 Shared protocol</w:t>
      </w:r>
    </w:p>
    <w:p>
      <w:pPr>
        <w:spacing w:line="480" w:lineRule="auto"/>
        <w:ind w:firstLine="360"/>
      </w:pPr>
      <w:r>
        <w:rPr>
          <w:rFonts w:ascii="Times New Roman" w:hAnsi="Times New Roman" w:eastAsia="Times New Roman"/>
          <w:b w:val="0"/>
          <w:i w:val="0"/>
          <w:sz w:val="22"/>
        </w:rPr>
        <w:t>For each lead time we (1) apply persistence and the domain-simple baseline; (2) fit one learned model on the same predictors (LSTM-Attention / XGBoost on rivers; spatiotemporal Transformer and a validation-tuned hybrid with climatology on oxygen); (3) report continuous skill and an event score; (4) remove or replace one information source and record the delta; (5) map residuals onto a physical axis (climate class, coastal proximity, 50 dbar). If a panel cannot be read as “relative to what, for which decision, capped by what,” it is omitted.</w:t>
      </w:r>
    </w:p>
    <w:p>
      <w:pPr>
        <w:spacing w:before="240" w:after="120"/>
      </w:pPr>
      <w:r>
        <w:rPr>
          <w:rFonts w:ascii="Times New Roman" w:hAnsi="Times New Roman" w:eastAsia="Times New Roman"/>
          <w:b/>
          <w:i w:val="0"/>
          <w:sz w:val="22"/>
        </w:rPr>
        <w:t>2.2 Rivers</w:t>
      </w:r>
    </w:p>
    <w:p>
      <w:pPr>
        <w:spacing w:line="480" w:lineRule="auto"/>
        <w:ind w:firstLine="360"/>
      </w:pPr>
      <w:r>
        <w:rPr>
          <w:rFonts w:ascii="Times New Roman" w:hAnsi="Times New Roman" w:eastAsia="Times New Roman"/>
          <w:b w:val="0"/>
          <w:i w:val="0"/>
          <w:sz w:val="22"/>
        </w:rPr>
        <w:t>The routing baseline is a linear map from lagged upstream discharge to the target gauge. Ablation ΔNSE is full-network learned NSE minus local-only learned NSE at 1 day. Flood events exceed the training-period 90th percentile. Oracle precipitation replaces observed catchment rain with perfect future rain. SHAP on Potomac 1-day XGBoost ranks target discharge ahead of upstream flow and precipitation [8].</w:t>
      </w:r>
    </w:p>
    <w:p>
      <w:pPr>
        <w:spacing w:before="240" w:after="120"/>
      </w:pPr>
      <w:r>
        <w:rPr>
          <w:rFonts w:ascii="Times New Roman" w:hAnsi="Times New Roman" w:eastAsia="Times New Roman"/>
          <w:b/>
          <w:i w:val="0"/>
          <w:sz w:val="22"/>
        </w:rPr>
        <w:t>2.3 Shelf oxygen</w:t>
      </w:r>
    </w:p>
    <w:p>
      <w:pPr>
        <w:spacing w:line="480" w:lineRule="auto"/>
        <w:ind w:firstLine="360"/>
      </w:pPr>
      <w:r>
        <w:rPr>
          <w:rFonts w:ascii="Times New Roman" w:hAnsi="Times New Roman" w:eastAsia="Times New Roman"/>
          <w:b w:val="0"/>
          <w:i w:val="0"/>
          <w:sz w:val="22"/>
        </w:rPr>
        <w:t>History length is 12 months; leads are 1, 2 and 3 months with year-block splits. The event threshold is the 10th percentile of oxygen. Sparse tests hide oxygen history while keeping physical drivers visible (point, block, sensor, station, mixed, Argo columns). Hybrid blend weights are tuned on validation and shrink toward climatology at longer leads.</w:t>
      </w:r>
    </w:p>
    <w:p>
      <w:pPr>
        <w:spacing w:before="240" w:after="120"/>
      </w:pPr>
      <w:r>
        <w:rPr>
          <w:rFonts w:ascii="Times New Roman" w:hAnsi="Times New Roman" w:eastAsia="Times New Roman"/>
          <w:b/>
          <w:i w:val="0"/>
          <w:sz w:val="24"/>
        </w:rPr>
        <w:t>3. Results</w:t>
      </w:r>
    </w:p>
    <w:p>
      <w:pPr>
        <w:spacing w:before="240" w:after="120"/>
      </w:pPr>
      <w:r>
        <w:rPr>
          <w:rFonts w:ascii="Times New Roman" w:hAnsi="Times New Roman" w:eastAsia="Times New Roman"/>
          <w:b/>
          <w:i w:val="0"/>
          <w:sz w:val="22"/>
        </w:rPr>
        <w:t>3.1 Gauge information is climate-conditional</w:t>
      </w:r>
    </w:p>
    <w:p>
      <w:pPr>
        <w:spacing w:line="480" w:lineRule="auto"/>
        <w:ind w:firstLine="360"/>
      </w:pPr>
      <w:r>
        <w:rPr>
          <w:rFonts w:ascii="Times New Roman" w:hAnsi="Times New Roman" w:eastAsia="Times New Roman"/>
          <w:b w:val="0"/>
          <w:i w:val="0"/>
          <w:sz w:val="22"/>
        </w:rPr>
        <w:t>At 1-day lead, routing NSE already exceeds 0.86 on humid and snowmelt basins (Table 1). Upstream ablation ΔNSE is +0.13 on James, +0.02 on Potomac, ≈0 on Willamette, +0.01 on Animas, and +0.06 on Verde, where the learned model (NSE 0.39) loses to routing (0.61). Architectures are therefore not uniformly safer than a linear hydrologic reference.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8"/>
              </w:rPr>
              <w:t>Basin</w:t>
            </w:r>
          </w:p>
        </w:tc>
        <w:tc>
          <w:tcPr>
            <w:tcW w:type="dxa" w:w="1440"/>
          </w:tcPr>
          <w:p>
            <w:r/>
            <w:r>
              <w:rPr>
                <w:rFonts w:ascii="Times New Roman" w:hAnsi="Times New Roman" w:eastAsia="Times New Roman"/>
                <w:b/>
                <w:i w:val="0"/>
                <w:sz w:val="18"/>
              </w:rPr>
              <w:t>Climate</w:t>
            </w:r>
          </w:p>
        </w:tc>
        <w:tc>
          <w:tcPr>
            <w:tcW w:type="dxa" w:w="1440"/>
          </w:tcPr>
          <w:p>
            <w:r/>
            <w:r>
              <w:rPr>
                <w:rFonts w:ascii="Times New Roman" w:hAnsi="Times New Roman" w:eastAsia="Times New Roman"/>
                <w:b/>
                <w:i w:val="0"/>
                <w:sz w:val="18"/>
              </w:rPr>
              <w:t>Routing NSE</w:t>
            </w:r>
          </w:p>
        </w:tc>
        <w:tc>
          <w:tcPr>
            <w:tcW w:type="dxa" w:w="1440"/>
          </w:tcPr>
          <w:p>
            <w:r/>
            <w:r>
              <w:rPr>
                <w:rFonts w:ascii="Times New Roman" w:hAnsi="Times New Roman" w:eastAsia="Times New Roman"/>
                <w:b/>
                <w:i w:val="0"/>
                <w:sz w:val="18"/>
              </w:rPr>
              <w:t>Learned NSE</w:t>
            </w:r>
          </w:p>
        </w:tc>
        <w:tc>
          <w:tcPr>
            <w:tcW w:type="dxa" w:w="1440"/>
          </w:tcPr>
          <w:p>
            <w:r/>
            <w:r>
              <w:rPr>
                <w:rFonts w:ascii="Times New Roman" w:hAnsi="Times New Roman" w:eastAsia="Times New Roman"/>
                <w:b/>
                <w:i w:val="0"/>
                <w:sz w:val="18"/>
              </w:rPr>
              <w:t>Upstream ΔNSE</w:t>
            </w:r>
          </w:p>
        </w:tc>
        <w:tc>
          <w:tcPr>
            <w:tcW w:type="dxa" w:w="1440"/>
          </w:tcPr>
          <w:p>
            <w:r/>
            <w:r>
              <w:rPr>
                <w:rFonts w:ascii="Times New Roman" w:hAnsi="Times New Roman" w:eastAsia="Times New Roman"/>
                <w:b/>
                <w:i w:val="0"/>
                <w:sz w:val="18"/>
              </w:rPr>
              <w:t>Learned−routing</w:t>
            </w:r>
          </w:p>
        </w:tc>
      </w:tr>
      <w:tr>
        <w:tc>
          <w:tcPr>
            <w:tcW w:type="dxa" w:w="1440"/>
          </w:tcPr>
          <w:p>
            <w:r/>
            <w:r>
              <w:rPr>
                <w:rFonts w:ascii="Times New Roman" w:hAnsi="Times New Roman" w:eastAsia="Times New Roman"/>
                <w:b w:val="0"/>
                <w:i w:val="0"/>
                <w:sz w:val="18"/>
              </w:rPr>
              <w:t>potomac</w:t>
            </w:r>
          </w:p>
        </w:tc>
        <w:tc>
          <w:tcPr>
            <w:tcW w:type="dxa" w:w="1440"/>
          </w:tcPr>
          <w:p>
            <w:r/>
            <w:r>
              <w:rPr>
                <w:rFonts w:ascii="Times New Roman" w:hAnsi="Times New Roman" w:eastAsia="Times New Roman"/>
                <w:b w:val="0"/>
                <w:i w:val="0"/>
                <w:sz w:val="18"/>
              </w:rPr>
              <w:t>humid_mid_atlantic</w:t>
            </w:r>
          </w:p>
        </w:tc>
        <w:tc>
          <w:tcPr>
            <w:tcW w:type="dxa" w:w="1440"/>
          </w:tcPr>
          <w:p>
            <w:r/>
            <w:r>
              <w:rPr>
                <w:rFonts w:ascii="Times New Roman" w:hAnsi="Times New Roman" w:eastAsia="Times New Roman"/>
                <w:b w:val="0"/>
                <w:i w:val="0"/>
                <w:sz w:val="18"/>
              </w:rPr>
              <w:t>0.861</w:t>
            </w:r>
          </w:p>
        </w:tc>
        <w:tc>
          <w:tcPr>
            <w:tcW w:type="dxa" w:w="1440"/>
          </w:tcPr>
          <w:p>
            <w:r/>
            <w:r>
              <w:rPr>
                <w:rFonts w:ascii="Times New Roman" w:hAnsi="Times New Roman" w:eastAsia="Times New Roman"/>
                <w:b w:val="0"/>
                <w:i w:val="0"/>
                <w:sz w:val="18"/>
              </w:rPr>
              <w:t>0.930</w:t>
            </w:r>
          </w:p>
        </w:tc>
        <w:tc>
          <w:tcPr>
            <w:tcW w:type="dxa" w:w="1440"/>
          </w:tcPr>
          <w:p>
            <w:r/>
            <w:r>
              <w:rPr>
                <w:rFonts w:ascii="Times New Roman" w:hAnsi="Times New Roman" w:eastAsia="Times New Roman"/>
                <w:b w:val="0"/>
                <w:i w:val="0"/>
                <w:sz w:val="18"/>
              </w:rPr>
              <w:t>0.020</w:t>
            </w:r>
          </w:p>
        </w:tc>
        <w:tc>
          <w:tcPr>
            <w:tcW w:type="dxa" w:w="1440"/>
          </w:tcPr>
          <w:p>
            <w:r/>
            <w:r>
              <w:rPr>
                <w:rFonts w:ascii="Times New Roman" w:hAnsi="Times New Roman" w:eastAsia="Times New Roman"/>
                <w:b w:val="0"/>
                <w:i w:val="0"/>
                <w:sz w:val="18"/>
              </w:rPr>
              <w:t>0.070</w:t>
            </w:r>
          </w:p>
        </w:tc>
      </w:tr>
      <w:tr>
        <w:tc>
          <w:tcPr>
            <w:tcW w:type="dxa" w:w="1440"/>
          </w:tcPr>
          <w:p>
            <w:r/>
            <w:r>
              <w:rPr>
                <w:rFonts w:ascii="Times New Roman" w:hAnsi="Times New Roman" w:eastAsia="Times New Roman"/>
                <w:b w:val="0"/>
                <w:i w:val="0"/>
                <w:sz w:val="18"/>
              </w:rPr>
              <w:t>james</w:t>
            </w:r>
          </w:p>
        </w:tc>
        <w:tc>
          <w:tcPr>
            <w:tcW w:type="dxa" w:w="1440"/>
          </w:tcPr>
          <w:p>
            <w:r/>
            <w:r>
              <w:rPr>
                <w:rFonts w:ascii="Times New Roman" w:hAnsi="Times New Roman" w:eastAsia="Times New Roman"/>
                <w:b w:val="0"/>
                <w:i w:val="0"/>
                <w:sz w:val="18"/>
              </w:rPr>
              <w:t>humid_mid_atlantic</w:t>
            </w:r>
          </w:p>
        </w:tc>
        <w:tc>
          <w:tcPr>
            <w:tcW w:type="dxa" w:w="1440"/>
          </w:tcPr>
          <w:p>
            <w:r/>
            <w:r>
              <w:rPr>
                <w:rFonts w:ascii="Times New Roman" w:hAnsi="Times New Roman" w:eastAsia="Times New Roman"/>
                <w:b w:val="0"/>
                <w:i w:val="0"/>
                <w:sz w:val="18"/>
              </w:rPr>
              <w:t>0.920</w:t>
            </w:r>
          </w:p>
        </w:tc>
        <w:tc>
          <w:tcPr>
            <w:tcW w:type="dxa" w:w="1440"/>
          </w:tcPr>
          <w:p>
            <w:r/>
            <w:r>
              <w:rPr>
                <w:rFonts w:ascii="Times New Roman" w:hAnsi="Times New Roman" w:eastAsia="Times New Roman"/>
                <w:b w:val="0"/>
                <w:i w:val="0"/>
                <w:sz w:val="18"/>
              </w:rPr>
              <w:t>0.933</w:t>
            </w:r>
          </w:p>
        </w:tc>
        <w:tc>
          <w:tcPr>
            <w:tcW w:type="dxa" w:w="1440"/>
          </w:tcPr>
          <w:p>
            <w:r/>
            <w:r>
              <w:rPr>
                <w:rFonts w:ascii="Times New Roman" w:hAnsi="Times New Roman" w:eastAsia="Times New Roman"/>
                <w:b w:val="0"/>
                <w:i w:val="0"/>
                <w:sz w:val="18"/>
              </w:rPr>
              <w:t>0.129</w:t>
            </w:r>
          </w:p>
        </w:tc>
        <w:tc>
          <w:tcPr>
            <w:tcW w:type="dxa" w:w="1440"/>
          </w:tcPr>
          <w:p>
            <w:r/>
            <w:r>
              <w:rPr>
                <w:rFonts w:ascii="Times New Roman" w:hAnsi="Times New Roman" w:eastAsia="Times New Roman"/>
                <w:b w:val="0"/>
                <w:i w:val="0"/>
                <w:sz w:val="18"/>
              </w:rPr>
              <w:t>0.013</w:t>
            </w:r>
          </w:p>
        </w:tc>
      </w:tr>
      <w:tr>
        <w:tc>
          <w:tcPr>
            <w:tcW w:type="dxa" w:w="1440"/>
          </w:tcPr>
          <w:p>
            <w:r/>
            <w:r>
              <w:rPr>
                <w:rFonts w:ascii="Times New Roman" w:hAnsi="Times New Roman" w:eastAsia="Times New Roman"/>
                <w:b w:val="0"/>
                <w:i w:val="0"/>
                <w:sz w:val="18"/>
              </w:rPr>
              <w:t>willamette</w:t>
            </w:r>
          </w:p>
        </w:tc>
        <w:tc>
          <w:tcPr>
            <w:tcW w:type="dxa" w:w="1440"/>
          </w:tcPr>
          <w:p>
            <w:r/>
            <w:r>
              <w:rPr>
                <w:rFonts w:ascii="Times New Roman" w:hAnsi="Times New Roman" w:eastAsia="Times New Roman"/>
                <w:b w:val="0"/>
                <w:i w:val="0"/>
                <w:sz w:val="18"/>
              </w:rPr>
              <w:t>humid_pacific_nw</w:t>
            </w:r>
          </w:p>
        </w:tc>
        <w:tc>
          <w:tcPr>
            <w:tcW w:type="dxa" w:w="1440"/>
          </w:tcPr>
          <w:p>
            <w:r/>
            <w:r>
              <w:rPr>
                <w:rFonts w:ascii="Times New Roman" w:hAnsi="Times New Roman" w:eastAsia="Times New Roman"/>
                <w:b w:val="0"/>
                <w:i w:val="0"/>
                <w:sz w:val="18"/>
              </w:rPr>
              <w:t>0.970</w:t>
            </w:r>
          </w:p>
        </w:tc>
        <w:tc>
          <w:tcPr>
            <w:tcW w:type="dxa" w:w="1440"/>
          </w:tcPr>
          <w:p>
            <w:r/>
            <w:r>
              <w:rPr>
                <w:rFonts w:ascii="Times New Roman" w:hAnsi="Times New Roman" w:eastAsia="Times New Roman"/>
                <w:b w:val="0"/>
                <w:i w:val="0"/>
                <w:sz w:val="18"/>
              </w:rPr>
              <w:t>0.990</w:t>
            </w:r>
          </w:p>
        </w:tc>
        <w:tc>
          <w:tcPr>
            <w:tcW w:type="dxa" w:w="1440"/>
          </w:tcPr>
          <w:p>
            <w:r/>
            <w:r>
              <w:rPr>
                <w:rFonts w:ascii="Times New Roman" w:hAnsi="Times New Roman" w:eastAsia="Times New Roman"/>
                <w:b w:val="0"/>
                <w:i w:val="0"/>
                <w:sz w:val="18"/>
              </w:rPr>
              <w:t>0.003</w:t>
            </w:r>
          </w:p>
        </w:tc>
        <w:tc>
          <w:tcPr>
            <w:tcW w:type="dxa" w:w="1440"/>
          </w:tcPr>
          <w:p>
            <w:r/>
            <w:r>
              <w:rPr>
                <w:rFonts w:ascii="Times New Roman" w:hAnsi="Times New Roman" w:eastAsia="Times New Roman"/>
                <w:b w:val="0"/>
                <w:i w:val="0"/>
                <w:sz w:val="18"/>
              </w:rPr>
              <w:t>0.020</w:t>
            </w:r>
          </w:p>
        </w:tc>
      </w:tr>
      <w:tr>
        <w:tc>
          <w:tcPr>
            <w:tcW w:type="dxa" w:w="1440"/>
          </w:tcPr>
          <w:p>
            <w:r/>
            <w:r>
              <w:rPr>
                <w:rFonts w:ascii="Times New Roman" w:hAnsi="Times New Roman" w:eastAsia="Times New Roman"/>
                <w:b w:val="0"/>
                <w:i w:val="0"/>
                <w:sz w:val="18"/>
              </w:rPr>
              <w:t>animas</w:t>
            </w:r>
          </w:p>
        </w:tc>
        <w:tc>
          <w:tcPr>
            <w:tcW w:type="dxa" w:w="1440"/>
          </w:tcPr>
          <w:p>
            <w:r/>
            <w:r>
              <w:rPr>
                <w:rFonts w:ascii="Times New Roman" w:hAnsi="Times New Roman" w:eastAsia="Times New Roman"/>
                <w:b w:val="0"/>
                <w:i w:val="0"/>
                <w:sz w:val="18"/>
              </w:rPr>
              <w:t>snowmelt_rockies</w:t>
            </w:r>
          </w:p>
        </w:tc>
        <w:tc>
          <w:tcPr>
            <w:tcW w:type="dxa" w:w="1440"/>
          </w:tcPr>
          <w:p>
            <w:r/>
            <w:r>
              <w:rPr>
                <w:rFonts w:ascii="Times New Roman" w:hAnsi="Times New Roman" w:eastAsia="Times New Roman"/>
                <w:b w:val="0"/>
                <w:i w:val="0"/>
                <w:sz w:val="18"/>
              </w:rPr>
              <w:t>0.980</w:t>
            </w:r>
          </w:p>
        </w:tc>
        <w:tc>
          <w:tcPr>
            <w:tcW w:type="dxa" w:w="1440"/>
          </w:tcPr>
          <w:p>
            <w:r/>
            <w:r>
              <w:rPr>
                <w:rFonts w:ascii="Times New Roman" w:hAnsi="Times New Roman" w:eastAsia="Times New Roman"/>
                <w:b w:val="0"/>
                <w:i w:val="0"/>
                <w:sz w:val="18"/>
              </w:rPr>
              <w:t>0.988</w:t>
            </w:r>
          </w:p>
        </w:tc>
        <w:tc>
          <w:tcPr>
            <w:tcW w:type="dxa" w:w="1440"/>
          </w:tcPr>
          <w:p>
            <w:r/>
            <w:r>
              <w:rPr>
                <w:rFonts w:ascii="Times New Roman" w:hAnsi="Times New Roman" w:eastAsia="Times New Roman"/>
                <w:b w:val="0"/>
                <w:i w:val="0"/>
                <w:sz w:val="18"/>
              </w:rPr>
              <w:t>0.010</w:t>
            </w:r>
          </w:p>
        </w:tc>
        <w:tc>
          <w:tcPr>
            <w:tcW w:type="dxa" w:w="1440"/>
          </w:tcPr>
          <w:p>
            <w:r/>
            <w:r>
              <w:rPr>
                <w:rFonts w:ascii="Times New Roman" w:hAnsi="Times New Roman" w:eastAsia="Times New Roman"/>
                <w:b w:val="0"/>
                <w:i w:val="0"/>
                <w:sz w:val="18"/>
              </w:rPr>
              <w:t>0.008</w:t>
            </w:r>
          </w:p>
        </w:tc>
      </w:tr>
      <w:tr>
        <w:tc>
          <w:tcPr>
            <w:tcW w:type="dxa" w:w="1440"/>
          </w:tcPr>
          <w:p>
            <w:r/>
            <w:r>
              <w:rPr>
                <w:rFonts w:ascii="Times New Roman" w:hAnsi="Times New Roman" w:eastAsia="Times New Roman"/>
                <w:b w:val="0"/>
                <w:i w:val="0"/>
                <w:sz w:val="18"/>
              </w:rPr>
              <w:t>verde</w:t>
            </w:r>
          </w:p>
        </w:tc>
        <w:tc>
          <w:tcPr>
            <w:tcW w:type="dxa" w:w="1440"/>
          </w:tcPr>
          <w:p>
            <w:r/>
            <w:r>
              <w:rPr>
                <w:rFonts w:ascii="Times New Roman" w:hAnsi="Times New Roman" w:eastAsia="Times New Roman"/>
                <w:b w:val="0"/>
                <w:i w:val="0"/>
                <w:sz w:val="18"/>
              </w:rPr>
              <w:t>semiarid_southwest</w:t>
            </w:r>
          </w:p>
        </w:tc>
        <w:tc>
          <w:tcPr>
            <w:tcW w:type="dxa" w:w="1440"/>
          </w:tcPr>
          <w:p>
            <w:r/>
            <w:r>
              <w:rPr>
                <w:rFonts w:ascii="Times New Roman" w:hAnsi="Times New Roman" w:eastAsia="Times New Roman"/>
                <w:b w:val="0"/>
                <w:i w:val="0"/>
                <w:sz w:val="18"/>
              </w:rPr>
              <w:t>0.605</w:t>
            </w:r>
          </w:p>
        </w:tc>
        <w:tc>
          <w:tcPr>
            <w:tcW w:type="dxa" w:w="1440"/>
          </w:tcPr>
          <w:p>
            <w:r/>
            <w:r>
              <w:rPr>
                <w:rFonts w:ascii="Times New Roman" w:hAnsi="Times New Roman" w:eastAsia="Times New Roman"/>
                <w:b w:val="0"/>
                <w:i w:val="0"/>
                <w:sz w:val="18"/>
              </w:rPr>
              <w:t>0.385</w:t>
            </w:r>
          </w:p>
        </w:tc>
        <w:tc>
          <w:tcPr>
            <w:tcW w:type="dxa" w:w="1440"/>
          </w:tcPr>
          <w:p>
            <w:r/>
            <w:r>
              <w:rPr>
                <w:rFonts w:ascii="Times New Roman" w:hAnsi="Times New Roman" w:eastAsia="Times New Roman"/>
                <w:b w:val="0"/>
                <w:i w:val="0"/>
                <w:sz w:val="18"/>
              </w:rPr>
              <w:t>0.061</w:t>
            </w:r>
          </w:p>
        </w:tc>
        <w:tc>
          <w:tcPr>
            <w:tcW w:type="dxa" w:w="1440"/>
          </w:tcPr>
          <w:p>
            <w:r/>
            <w:r>
              <w:rPr>
                <w:rFonts w:ascii="Times New Roman" w:hAnsi="Times New Roman" w:eastAsia="Times New Roman"/>
                <w:b w:val="0"/>
                <w:i w:val="0"/>
                <w:sz w:val="18"/>
              </w:rPr>
              <w:t>-0.221</w:t>
            </w:r>
          </w:p>
        </w:tc>
      </w:tr>
    </w:tbl>
    <w:p>
      <w:pPr>
        <w:spacing w:before="80" w:after="200"/>
        <w:jc w:val="center"/>
      </w:pPr>
      <w:r>
        <w:rPr>
          <w:rFonts w:ascii="Times New Roman" w:hAnsi="Times New Roman" w:eastAsia="Times New Roman"/>
          <w:b w:val="0"/>
          <w:i w:val="0"/>
          <w:sz w:val="20"/>
        </w:rPr>
        <w:t>Table 1. One-day river skill. ΔNSE is the information value of upstream gauges.</w:t>
      </w:r>
    </w:p>
    <w:p>
      <w:pPr>
        <w:spacing w:before="240" w:after="120"/>
      </w:pPr>
      <w:r>
        <w:rPr>
          <w:rFonts w:ascii="Times New Roman" w:hAnsi="Times New Roman" w:eastAsia="Times New Roman"/>
          <w:b/>
          <w:i w:val="0"/>
          <w:sz w:val="22"/>
        </w:rPr>
        <w:t>3.2 Event skill and the precipitation ceiling</w:t>
      </w:r>
    </w:p>
    <w:p>
      <w:pPr>
        <w:spacing w:line="480" w:lineRule="auto"/>
        <w:ind w:firstLine="360"/>
      </w:pPr>
      <w:r>
        <w:rPr>
          <w:rFonts w:ascii="Times New Roman" w:hAnsi="Times New Roman" w:eastAsia="Times New Roman"/>
          <w:b w:val="0"/>
          <w:i w:val="0"/>
          <w:sz w:val="22"/>
        </w:rPr>
        <w:t>On the Potomac, P90 CSI is 0.75 (learned) versus 0.62 (routing) and 0.56 (persistence) at 1 day; at 7 days routing CSI is 0.04 while learned CSI remains 0.26 (Table 2). Oracle precipitation changes 1-day NSE by about 0, then +0.12 at 3 days and +0.20 at 7 days. Weekly river skill is limited by rain information, not by replacing attention with another block.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Times New Roman"/>
                <w:b/>
                <w:i w:val="0"/>
                <w:sz w:val="18"/>
              </w:rPr>
              <w:t>Lead (d)</w:t>
            </w:r>
          </w:p>
        </w:tc>
        <w:tc>
          <w:tcPr>
            <w:tcW w:type="dxa" w:w="1728"/>
          </w:tcPr>
          <w:p>
            <w:r/>
            <w:r>
              <w:rPr>
                <w:rFonts w:ascii="Times New Roman" w:hAnsi="Times New Roman" w:eastAsia="Times New Roman"/>
                <w:b/>
                <w:i w:val="0"/>
                <w:sz w:val="18"/>
              </w:rPr>
              <w:t>Routing CSI</w:t>
            </w:r>
          </w:p>
        </w:tc>
        <w:tc>
          <w:tcPr>
            <w:tcW w:type="dxa" w:w="1728"/>
          </w:tcPr>
          <w:p>
            <w:r/>
            <w:r>
              <w:rPr>
                <w:rFonts w:ascii="Times New Roman" w:hAnsi="Times New Roman" w:eastAsia="Times New Roman"/>
                <w:b/>
                <w:i w:val="0"/>
                <w:sz w:val="18"/>
              </w:rPr>
              <w:t>Learned CSI</w:t>
            </w:r>
          </w:p>
        </w:tc>
        <w:tc>
          <w:tcPr>
            <w:tcW w:type="dxa" w:w="1728"/>
          </w:tcPr>
          <w:p>
            <w:r/>
            <w:r>
              <w:rPr>
                <w:rFonts w:ascii="Times New Roman" w:hAnsi="Times New Roman" w:eastAsia="Times New Roman"/>
                <w:b/>
                <w:i w:val="0"/>
                <w:sz w:val="18"/>
              </w:rPr>
              <w:t>Persist CSI</w:t>
            </w:r>
          </w:p>
        </w:tc>
        <w:tc>
          <w:tcPr>
            <w:tcW w:type="dxa" w:w="1728"/>
          </w:tcPr>
          <w:p>
            <w:r/>
            <w:r>
              <w:rPr>
                <w:rFonts w:ascii="Times New Roman" w:hAnsi="Times New Roman" w:eastAsia="Times New Roman"/>
                <w:b/>
                <w:i w:val="0"/>
                <w:sz w:val="18"/>
              </w:rPr>
              <w:t>Oracle ΔNSE</w:t>
            </w:r>
          </w:p>
        </w:tc>
      </w:tr>
      <w:tr>
        <w:tc>
          <w:tcPr>
            <w:tcW w:type="dxa" w:w="1728"/>
          </w:tcPr>
          <w:p>
            <w:r/>
            <w:r>
              <w:rPr>
                <w:rFonts w:ascii="Times New Roman" w:hAnsi="Times New Roman" w:eastAsia="Times New Roman"/>
                <w:b w:val="0"/>
                <w:i w:val="0"/>
                <w:sz w:val="18"/>
              </w:rPr>
              <w:t>1</w:t>
            </w:r>
          </w:p>
        </w:tc>
        <w:tc>
          <w:tcPr>
            <w:tcW w:type="dxa" w:w="1728"/>
          </w:tcPr>
          <w:p>
            <w:r/>
            <w:r>
              <w:rPr>
                <w:rFonts w:ascii="Times New Roman" w:hAnsi="Times New Roman" w:eastAsia="Times New Roman"/>
                <w:b w:val="0"/>
                <w:i w:val="0"/>
                <w:sz w:val="18"/>
              </w:rPr>
              <w:t>0.622</w:t>
            </w:r>
          </w:p>
        </w:tc>
        <w:tc>
          <w:tcPr>
            <w:tcW w:type="dxa" w:w="1728"/>
          </w:tcPr>
          <w:p>
            <w:r/>
            <w:r>
              <w:rPr>
                <w:rFonts w:ascii="Times New Roman" w:hAnsi="Times New Roman" w:eastAsia="Times New Roman"/>
                <w:b w:val="0"/>
                <w:i w:val="0"/>
                <w:sz w:val="18"/>
              </w:rPr>
              <w:t>0.750</w:t>
            </w:r>
          </w:p>
        </w:tc>
        <w:tc>
          <w:tcPr>
            <w:tcW w:type="dxa" w:w="1728"/>
          </w:tcPr>
          <w:p>
            <w:r/>
            <w:r>
              <w:rPr>
                <w:rFonts w:ascii="Times New Roman" w:hAnsi="Times New Roman" w:eastAsia="Times New Roman"/>
                <w:b w:val="0"/>
                <w:i w:val="0"/>
                <w:sz w:val="18"/>
              </w:rPr>
              <w:t>0.560</w:t>
            </w:r>
          </w:p>
        </w:tc>
        <w:tc>
          <w:tcPr>
            <w:tcW w:type="dxa" w:w="1728"/>
          </w:tcPr>
          <w:p>
            <w:r/>
            <w:r>
              <w:rPr>
                <w:rFonts w:ascii="Times New Roman" w:hAnsi="Times New Roman" w:eastAsia="Times New Roman"/>
                <w:b w:val="0"/>
                <w:i w:val="0"/>
                <w:sz w:val="18"/>
              </w:rPr>
              <w:t>-0.001</w:t>
            </w:r>
          </w:p>
        </w:tc>
      </w:tr>
      <w:tr>
        <w:tc>
          <w:tcPr>
            <w:tcW w:type="dxa" w:w="1728"/>
          </w:tcPr>
          <w:p>
            <w:r/>
            <w:r>
              <w:rPr>
                <w:rFonts w:ascii="Times New Roman" w:hAnsi="Times New Roman" w:eastAsia="Times New Roman"/>
                <w:b w:val="0"/>
                <w:i w:val="0"/>
                <w:sz w:val="18"/>
              </w:rPr>
              <w:t>3</w:t>
            </w:r>
          </w:p>
        </w:tc>
        <w:tc>
          <w:tcPr>
            <w:tcW w:type="dxa" w:w="1728"/>
          </w:tcPr>
          <w:p>
            <w:r/>
            <w:r>
              <w:rPr>
                <w:rFonts w:ascii="Times New Roman" w:hAnsi="Times New Roman" w:eastAsia="Times New Roman"/>
                <w:b w:val="0"/>
                <w:i w:val="0"/>
                <w:sz w:val="18"/>
              </w:rPr>
              <w:t>0.200</w:t>
            </w:r>
          </w:p>
        </w:tc>
        <w:tc>
          <w:tcPr>
            <w:tcW w:type="dxa" w:w="1728"/>
          </w:tcPr>
          <w:p>
            <w:r/>
            <w:r>
              <w:rPr>
                <w:rFonts w:ascii="Times New Roman" w:hAnsi="Times New Roman" w:eastAsia="Times New Roman"/>
                <w:b w:val="0"/>
                <w:i w:val="0"/>
                <w:sz w:val="18"/>
              </w:rPr>
              <w:t>0.288</w:t>
            </w:r>
          </w:p>
        </w:tc>
        <w:tc>
          <w:tcPr>
            <w:tcW w:type="dxa" w:w="1728"/>
          </w:tcPr>
          <w:p>
            <w:r/>
            <w:r>
              <w:rPr>
                <w:rFonts w:ascii="Times New Roman" w:hAnsi="Times New Roman" w:eastAsia="Times New Roman"/>
                <w:b w:val="0"/>
                <w:i w:val="0"/>
                <w:sz w:val="18"/>
              </w:rPr>
              <w:t>0.162</w:t>
            </w:r>
          </w:p>
        </w:tc>
        <w:tc>
          <w:tcPr>
            <w:tcW w:type="dxa" w:w="1728"/>
          </w:tcPr>
          <w:p>
            <w:r/>
            <w:r>
              <w:rPr>
                <w:rFonts w:ascii="Times New Roman" w:hAnsi="Times New Roman" w:eastAsia="Times New Roman"/>
                <w:b w:val="0"/>
                <w:i w:val="0"/>
                <w:sz w:val="18"/>
              </w:rPr>
              <w:t>0.121</w:t>
            </w:r>
          </w:p>
        </w:tc>
      </w:tr>
      <w:tr>
        <w:tc>
          <w:tcPr>
            <w:tcW w:type="dxa" w:w="1728"/>
          </w:tcPr>
          <w:p>
            <w:r/>
            <w:r>
              <w:rPr>
                <w:rFonts w:ascii="Times New Roman" w:hAnsi="Times New Roman" w:eastAsia="Times New Roman"/>
                <w:b w:val="0"/>
                <w:i w:val="0"/>
                <w:sz w:val="18"/>
              </w:rPr>
              <w:t>7</w:t>
            </w:r>
          </w:p>
        </w:tc>
        <w:tc>
          <w:tcPr>
            <w:tcW w:type="dxa" w:w="1728"/>
          </w:tcPr>
          <w:p>
            <w:r/>
            <w:r>
              <w:rPr>
                <w:rFonts w:ascii="Times New Roman" w:hAnsi="Times New Roman" w:eastAsia="Times New Roman"/>
                <w:b w:val="0"/>
                <w:i w:val="0"/>
                <w:sz w:val="18"/>
              </w:rPr>
              <w:t>0.038</w:t>
            </w:r>
          </w:p>
        </w:tc>
        <w:tc>
          <w:tcPr>
            <w:tcW w:type="dxa" w:w="1728"/>
          </w:tcPr>
          <w:p>
            <w:r/>
            <w:r>
              <w:rPr>
                <w:rFonts w:ascii="Times New Roman" w:hAnsi="Times New Roman" w:eastAsia="Times New Roman"/>
                <w:b w:val="0"/>
                <w:i w:val="0"/>
                <w:sz w:val="18"/>
              </w:rPr>
              <w:t>0.260</w:t>
            </w:r>
          </w:p>
        </w:tc>
        <w:tc>
          <w:tcPr>
            <w:tcW w:type="dxa" w:w="1728"/>
          </w:tcPr>
          <w:p>
            <w:r/>
            <w:r>
              <w:rPr>
                <w:rFonts w:ascii="Times New Roman" w:hAnsi="Times New Roman" w:eastAsia="Times New Roman"/>
                <w:b w:val="0"/>
                <w:i w:val="0"/>
                <w:sz w:val="18"/>
              </w:rPr>
              <w:t>0.064</w:t>
            </w:r>
          </w:p>
        </w:tc>
        <w:tc>
          <w:tcPr>
            <w:tcW w:type="dxa" w:w="1728"/>
          </w:tcPr>
          <w:p>
            <w:r/>
            <w:r>
              <w:rPr>
                <w:rFonts w:ascii="Times New Roman" w:hAnsi="Times New Roman" w:eastAsia="Times New Roman"/>
                <w:b w:val="0"/>
                <w:i w:val="0"/>
                <w:sz w:val="18"/>
              </w:rPr>
              <w:t>0.196</w:t>
            </w:r>
          </w:p>
        </w:tc>
      </w:tr>
    </w:tbl>
    <w:p>
      <w:pPr>
        <w:spacing w:before="80" w:after="200"/>
        <w:jc w:val="center"/>
      </w:pPr>
      <w:r>
        <w:rPr>
          <w:rFonts w:ascii="Times New Roman" w:hAnsi="Times New Roman" w:eastAsia="Times New Roman"/>
          <w:b w:val="0"/>
          <w:i w:val="0"/>
          <w:sz w:val="20"/>
        </w:rPr>
        <w:t>Table 2. Potomac P90 flood CSI and oracle-precipitation ΔNSE.</w:t>
      </w:r>
    </w:p>
    <w:p>
      <w:pPr>
        <w:spacing w:before="240" w:after="120"/>
      </w:pPr>
      <w:r>
        <w:rPr>
          <w:rFonts w:ascii="Times New Roman" w:hAnsi="Times New Roman" w:eastAsia="Times New Roman"/>
          <w:b/>
          <w:i w:val="0"/>
          <w:sz w:val="22"/>
        </w:rPr>
        <w:t>3.3 Oxygen: Transformer at one month, climatology thereafter</w:t>
      </w:r>
    </w:p>
    <w:p>
      <w:pPr>
        <w:spacing w:line="480" w:lineRule="auto"/>
        <w:ind w:firstLine="360"/>
      </w:pPr>
      <w:r>
        <w:rPr>
          <w:rFonts w:ascii="Times New Roman" w:hAnsi="Times New Roman" w:eastAsia="Times New Roman"/>
          <w:b w:val="0"/>
          <w:i w:val="0"/>
          <w:sz w:val="22"/>
        </w:rPr>
        <w:t>Lead-1 Transformer RMSE is 3.876 µmol kg⁻¹ (skill versus climatology 0.465; F1 0.741). At two months the hybrid (5.083) matches climatology (5.228) while the standalone Transformer (5.832) is worse than climatology. At three months the Transformer is unusable; the hybrid collapses to climatology. Argo- or station-column oxygen history raises lead-1 RMSE by about 35%. Physical drivers help mid-lead hybrid skill relative to oxygen-only history; they do not prevent climatology takeover.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Times New Roman"/>
                <w:b/>
                <w:i w:val="0"/>
                <w:sz w:val="18"/>
              </w:rPr>
              <w:t>Lead (mo)</w:t>
            </w:r>
          </w:p>
        </w:tc>
        <w:tc>
          <w:tcPr>
            <w:tcW w:type="dxa" w:w="1440"/>
          </w:tcPr>
          <w:p>
            <w:r/>
            <w:r>
              <w:rPr>
                <w:rFonts w:ascii="Times New Roman" w:hAnsi="Times New Roman" w:eastAsia="Times New Roman"/>
                <w:b/>
                <w:i w:val="0"/>
                <w:sz w:val="18"/>
              </w:rPr>
              <w:t>Model</w:t>
            </w:r>
          </w:p>
        </w:tc>
        <w:tc>
          <w:tcPr>
            <w:tcW w:type="dxa" w:w="1440"/>
          </w:tcPr>
          <w:p>
            <w:r/>
            <w:r>
              <w:rPr>
                <w:rFonts w:ascii="Times New Roman" w:hAnsi="Times New Roman" w:eastAsia="Times New Roman"/>
                <w:b/>
                <w:i w:val="0"/>
                <w:sz w:val="18"/>
              </w:rPr>
              <w:t>RMSE</w:t>
            </w:r>
          </w:p>
        </w:tc>
        <w:tc>
          <w:tcPr>
            <w:tcW w:type="dxa" w:w="1440"/>
          </w:tcPr>
          <w:p>
            <w:r/>
            <w:r>
              <w:rPr>
                <w:rFonts w:ascii="Times New Roman" w:hAnsi="Times New Roman" w:eastAsia="Times New Roman"/>
                <w:b/>
                <w:i w:val="0"/>
                <w:sz w:val="18"/>
              </w:rPr>
              <w:t>Skill vs clim</w:t>
            </w:r>
          </w:p>
        </w:tc>
        <w:tc>
          <w:tcPr>
            <w:tcW w:type="dxa" w:w="1440"/>
          </w:tcPr>
          <w:p>
            <w:r/>
            <w:r>
              <w:rPr>
                <w:rFonts w:ascii="Times New Roman" w:hAnsi="Times New Roman" w:eastAsia="Times New Roman"/>
                <w:b/>
                <w:i w:val="0"/>
                <w:sz w:val="18"/>
              </w:rPr>
              <w:t>Hypoxia F1</w:t>
            </w:r>
          </w:p>
        </w:tc>
        <w:tc>
          <w:tcPr>
            <w:tcW w:type="dxa" w:w="1440"/>
          </w:tcPr>
          <w:p>
            <w:r/>
            <w:r>
              <w:rPr>
                <w:rFonts w:ascii="Times New Roman" w:hAnsi="Times New Roman" w:eastAsia="Times New Roman"/>
                <w:b/>
                <w:i w:val="0"/>
                <w:sz w:val="18"/>
              </w:rPr>
              <w:t>CSI</w:t>
            </w:r>
          </w:p>
        </w:tc>
      </w:tr>
      <w:tr>
        <w:tc>
          <w:tcPr>
            <w:tcW w:type="dxa" w:w="1440"/>
          </w:tcPr>
          <w:p>
            <w:r/>
            <w:r>
              <w:rPr>
                <w:rFonts w:ascii="Times New Roman" w:hAnsi="Times New Roman" w:eastAsia="Times New Roman"/>
                <w:b w:val="0"/>
                <w:i w:val="0"/>
                <w:sz w:val="18"/>
              </w:rPr>
              <w:t>1</w:t>
            </w:r>
          </w:p>
        </w:tc>
        <w:tc>
          <w:tcPr>
            <w:tcW w:type="dxa" w:w="1440"/>
          </w:tcPr>
          <w:p>
            <w:r/>
            <w:r>
              <w:rPr>
                <w:rFonts w:ascii="Times New Roman" w:hAnsi="Times New Roman" w:eastAsia="Times New Roman"/>
                <w:b w:val="0"/>
                <w:i w:val="0"/>
                <w:sz w:val="18"/>
              </w:rPr>
              <w:t>persistence</w:t>
            </w:r>
          </w:p>
        </w:tc>
        <w:tc>
          <w:tcPr>
            <w:tcW w:type="dxa" w:w="1440"/>
          </w:tcPr>
          <w:p>
            <w:r/>
            <w:r>
              <w:rPr>
                <w:rFonts w:ascii="Times New Roman" w:hAnsi="Times New Roman" w:eastAsia="Times New Roman"/>
                <w:b w:val="0"/>
                <w:i w:val="0"/>
                <w:sz w:val="18"/>
              </w:rPr>
              <w:t>8.265</w:t>
            </w:r>
          </w:p>
        </w:tc>
        <w:tc>
          <w:tcPr>
            <w:tcW w:type="dxa" w:w="1440"/>
          </w:tcPr>
          <w:p>
            <w:r/>
            <w:r>
              <w:rPr>
                <w:rFonts w:ascii="Times New Roman" w:hAnsi="Times New Roman" w:eastAsia="Times New Roman"/>
                <w:b w:val="0"/>
                <w:i w:val="0"/>
                <w:sz w:val="18"/>
              </w:rPr>
              <w:t>-1.434</w:t>
            </w:r>
          </w:p>
        </w:tc>
        <w:tc>
          <w:tcPr>
            <w:tcW w:type="dxa" w:w="1440"/>
          </w:tcPr>
          <w:p>
            <w:r/>
            <w:r>
              <w:rPr>
                <w:rFonts w:ascii="Times New Roman" w:hAnsi="Times New Roman" w:eastAsia="Times New Roman"/>
                <w:b w:val="0"/>
                <w:i w:val="0"/>
                <w:sz w:val="18"/>
              </w:rPr>
              <w:t>0.600</w:t>
            </w:r>
          </w:p>
        </w:tc>
        <w:tc>
          <w:tcPr>
            <w:tcW w:type="dxa" w:w="1440"/>
          </w:tcPr>
          <w:p>
            <w:r/>
            <w:r>
              <w:rPr>
                <w:rFonts w:ascii="Times New Roman" w:hAnsi="Times New Roman" w:eastAsia="Times New Roman"/>
                <w:b w:val="0"/>
                <w:i w:val="0"/>
                <w:sz w:val="18"/>
              </w:rPr>
              <w:t>0.429</w:t>
            </w:r>
          </w:p>
        </w:tc>
      </w:tr>
      <w:tr>
        <w:tc>
          <w:tcPr>
            <w:tcW w:type="dxa" w:w="1440"/>
          </w:tcPr>
          <w:p>
            <w:r/>
            <w:r>
              <w:rPr>
                <w:rFonts w:ascii="Times New Roman" w:hAnsi="Times New Roman" w:eastAsia="Times New Roman"/>
                <w:b w:val="0"/>
                <w:i w:val="0"/>
                <w:sz w:val="18"/>
              </w:rPr>
              <w:t>1</w:t>
            </w:r>
          </w:p>
        </w:tc>
        <w:tc>
          <w:tcPr>
            <w:tcW w:type="dxa" w:w="1440"/>
          </w:tcPr>
          <w:p>
            <w:r/>
            <w:r>
              <w:rPr>
                <w:rFonts w:ascii="Times New Roman" w:hAnsi="Times New Roman" w:eastAsia="Times New Roman"/>
                <w:b w:val="0"/>
                <w:i w:val="0"/>
                <w:sz w:val="18"/>
              </w:rPr>
              <w:t>climatology</w:t>
            </w:r>
          </w:p>
        </w:tc>
        <w:tc>
          <w:tcPr>
            <w:tcW w:type="dxa" w:w="1440"/>
          </w:tcPr>
          <w:p>
            <w:r/>
            <w:r>
              <w:rPr>
                <w:rFonts w:ascii="Times New Roman" w:hAnsi="Times New Roman" w:eastAsia="Times New Roman"/>
                <w:b w:val="0"/>
                <w:i w:val="0"/>
                <w:sz w:val="18"/>
              </w:rPr>
              <w:t>5.298</w:t>
            </w:r>
          </w:p>
        </w:tc>
        <w:tc>
          <w:tcPr>
            <w:tcW w:type="dxa" w:w="1440"/>
          </w:tcPr>
          <w:p>
            <w:r/>
            <w:r>
              <w:rPr>
                <w:rFonts w:ascii="Times New Roman" w:hAnsi="Times New Roman" w:eastAsia="Times New Roman"/>
                <w:b w:val="0"/>
                <w:i w:val="0"/>
                <w:sz w:val="18"/>
              </w:rPr>
              <w:t>0.000</w:t>
            </w:r>
          </w:p>
        </w:tc>
        <w:tc>
          <w:tcPr>
            <w:tcW w:type="dxa" w:w="1440"/>
          </w:tcPr>
          <w:p>
            <w:r/>
            <w:r>
              <w:rPr>
                <w:rFonts w:ascii="Times New Roman" w:hAnsi="Times New Roman" w:eastAsia="Times New Roman"/>
                <w:b w:val="0"/>
                <w:i w:val="0"/>
                <w:sz w:val="18"/>
              </w:rPr>
              <w:t>0.671</w:t>
            </w:r>
          </w:p>
        </w:tc>
        <w:tc>
          <w:tcPr>
            <w:tcW w:type="dxa" w:w="1440"/>
          </w:tcPr>
          <w:p>
            <w:r/>
            <w:r>
              <w:rPr>
                <w:rFonts w:ascii="Times New Roman" w:hAnsi="Times New Roman" w:eastAsia="Times New Roman"/>
                <w:b w:val="0"/>
                <w:i w:val="0"/>
                <w:sz w:val="18"/>
              </w:rPr>
              <w:t>0.505</w:t>
            </w:r>
          </w:p>
        </w:tc>
      </w:tr>
      <w:tr>
        <w:tc>
          <w:tcPr>
            <w:tcW w:type="dxa" w:w="1440"/>
          </w:tcPr>
          <w:p>
            <w:r/>
            <w:r>
              <w:rPr>
                <w:rFonts w:ascii="Times New Roman" w:hAnsi="Times New Roman" w:eastAsia="Times New Roman"/>
                <w:b w:val="0"/>
                <w:i w:val="0"/>
                <w:sz w:val="18"/>
              </w:rPr>
              <w:t>1</w:t>
            </w:r>
          </w:p>
        </w:tc>
        <w:tc>
          <w:tcPr>
            <w:tcW w:type="dxa" w:w="1440"/>
          </w:tcPr>
          <w:p>
            <w:r/>
            <w:r>
              <w:rPr>
                <w:rFonts w:ascii="Times New Roman" w:hAnsi="Times New Roman" w:eastAsia="Times New Roman"/>
                <w:b w:val="0"/>
                <w:i w:val="0"/>
                <w:sz w:val="18"/>
              </w:rPr>
              <w:t>st_transformer</w:t>
            </w:r>
          </w:p>
        </w:tc>
        <w:tc>
          <w:tcPr>
            <w:tcW w:type="dxa" w:w="1440"/>
          </w:tcPr>
          <w:p>
            <w:r/>
            <w:r>
              <w:rPr>
                <w:rFonts w:ascii="Times New Roman" w:hAnsi="Times New Roman" w:eastAsia="Times New Roman"/>
                <w:b w:val="0"/>
                <w:i w:val="0"/>
                <w:sz w:val="18"/>
              </w:rPr>
              <w:t>3.876</w:t>
            </w:r>
          </w:p>
        </w:tc>
        <w:tc>
          <w:tcPr>
            <w:tcW w:type="dxa" w:w="1440"/>
          </w:tcPr>
          <w:p>
            <w:r/>
            <w:r>
              <w:rPr>
                <w:rFonts w:ascii="Times New Roman" w:hAnsi="Times New Roman" w:eastAsia="Times New Roman"/>
                <w:b w:val="0"/>
                <w:i w:val="0"/>
                <w:sz w:val="18"/>
              </w:rPr>
              <w:t>0.465</w:t>
            </w:r>
          </w:p>
        </w:tc>
        <w:tc>
          <w:tcPr>
            <w:tcW w:type="dxa" w:w="1440"/>
          </w:tcPr>
          <w:p>
            <w:r/>
            <w:r>
              <w:rPr>
                <w:rFonts w:ascii="Times New Roman" w:hAnsi="Times New Roman" w:eastAsia="Times New Roman"/>
                <w:b w:val="0"/>
                <w:i w:val="0"/>
                <w:sz w:val="18"/>
              </w:rPr>
              <w:t>0.741</w:t>
            </w:r>
          </w:p>
        </w:tc>
        <w:tc>
          <w:tcPr>
            <w:tcW w:type="dxa" w:w="1440"/>
          </w:tcPr>
          <w:p>
            <w:r/>
            <w:r>
              <w:rPr>
                <w:rFonts w:ascii="Times New Roman" w:hAnsi="Times New Roman" w:eastAsia="Times New Roman"/>
                <w:b w:val="0"/>
                <w:i w:val="0"/>
                <w:sz w:val="18"/>
              </w:rPr>
              <w:t>0.588</w:t>
            </w:r>
          </w:p>
        </w:tc>
      </w:tr>
      <w:tr>
        <w:tc>
          <w:tcPr>
            <w:tcW w:type="dxa" w:w="1440"/>
          </w:tcPr>
          <w:p>
            <w:r/>
            <w:r>
              <w:rPr>
                <w:rFonts w:ascii="Times New Roman" w:hAnsi="Times New Roman" w:eastAsia="Times New Roman"/>
                <w:b w:val="0"/>
                <w:i w:val="0"/>
                <w:sz w:val="18"/>
              </w:rPr>
              <w:t>1</w:t>
            </w:r>
          </w:p>
        </w:tc>
        <w:tc>
          <w:tcPr>
            <w:tcW w:type="dxa" w:w="1440"/>
          </w:tcPr>
          <w:p>
            <w:r/>
            <w:r>
              <w:rPr>
                <w:rFonts w:ascii="Times New Roman" w:hAnsi="Times New Roman" w:eastAsia="Times New Roman"/>
                <w:b w:val="0"/>
                <w:i w:val="0"/>
                <w:sz w:val="18"/>
              </w:rPr>
              <w:t>hybrid_clim_st</w:t>
            </w:r>
          </w:p>
        </w:tc>
        <w:tc>
          <w:tcPr>
            <w:tcW w:type="dxa" w:w="1440"/>
          </w:tcPr>
          <w:p>
            <w:r/>
            <w:r>
              <w:rPr>
                <w:rFonts w:ascii="Times New Roman" w:hAnsi="Times New Roman" w:eastAsia="Times New Roman"/>
                <w:b w:val="0"/>
                <w:i w:val="0"/>
                <w:sz w:val="18"/>
              </w:rPr>
              <w:t>3.876</w:t>
            </w:r>
          </w:p>
        </w:tc>
        <w:tc>
          <w:tcPr>
            <w:tcW w:type="dxa" w:w="1440"/>
          </w:tcPr>
          <w:p>
            <w:r/>
            <w:r>
              <w:rPr>
                <w:rFonts w:ascii="Times New Roman" w:hAnsi="Times New Roman" w:eastAsia="Times New Roman"/>
                <w:b w:val="0"/>
                <w:i w:val="0"/>
                <w:sz w:val="18"/>
              </w:rPr>
              <w:t>0.465</w:t>
            </w:r>
          </w:p>
        </w:tc>
        <w:tc>
          <w:tcPr>
            <w:tcW w:type="dxa" w:w="1440"/>
          </w:tcPr>
          <w:p>
            <w:r/>
            <w:r>
              <w:rPr>
                <w:rFonts w:ascii="Times New Roman" w:hAnsi="Times New Roman" w:eastAsia="Times New Roman"/>
                <w:b w:val="0"/>
                <w:i w:val="0"/>
                <w:sz w:val="18"/>
              </w:rPr>
              <w:t>0.741</w:t>
            </w:r>
          </w:p>
        </w:tc>
        <w:tc>
          <w:tcPr>
            <w:tcW w:type="dxa" w:w="1440"/>
          </w:tcPr>
          <w:p>
            <w:r/>
            <w:r>
              <w:rPr>
                <w:rFonts w:ascii="Times New Roman" w:hAnsi="Times New Roman" w:eastAsia="Times New Roman"/>
                <w:b w:val="0"/>
                <w:i w:val="0"/>
                <w:sz w:val="18"/>
              </w:rPr>
              <w:t>0.588</w:t>
            </w:r>
          </w:p>
        </w:tc>
      </w:tr>
      <w:tr>
        <w:tc>
          <w:tcPr>
            <w:tcW w:type="dxa" w:w="1440"/>
          </w:tcPr>
          <w:p>
            <w:r/>
            <w:r>
              <w:rPr>
                <w:rFonts w:ascii="Times New Roman" w:hAnsi="Times New Roman" w:eastAsia="Times New Roman"/>
                <w:b w:val="0"/>
                <w:i w:val="0"/>
                <w:sz w:val="18"/>
              </w:rPr>
              <w:t>2</w:t>
            </w:r>
          </w:p>
        </w:tc>
        <w:tc>
          <w:tcPr>
            <w:tcW w:type="dxa" w:w="1440"/>
          </w:tcPr>
          <w:p>
            <w:r/>
            <w:r>
              <w:rPr>
                <w:rFonts w:ascii="Times New Roman" w:hAnsi="Times New Roman" w:eastAsia="Times New Roman"/>
                <w:b w:val="0"/>
                <w:i w:val="0"/>
                <w:sz w:val="18"/>
              </w:rPr>
              <w:t>persistence</w:t>
            </w:r>
          </w:p>
        </w:tc>
        <w:tc>
          <w:tcPr>
            <w:tcW w:type="dxa" w:w="1440"/>
          </w:tcPr>
          <w:p>
            <w:r/>
            <w:r>
              <w:rPr>
                <w:rFonts w:ascii="Times New Roman" w:hAnsi="Times New Roman" w:eastAsia="Times New Roman"/>
                <w:b w:val="0"/>
                <w:i w:val="0"/>
                <w:sz w:val="18"/>
              </w:rPr>
              <w:t>14.815</w:t>
            </w:r>
          </w:p>
        </w:tc>
        <w:tc>
          <w:tcPr>
            <w:tcW w:type="dxa" w:w="1440"/>
          </w:tcPr>
          <w:p>
            <w:r/>
            <w:r>
              <w:rPr>
                <w:rFonts w:ascii="Times New Roman" w:hAnsi="Times New Roman" w:eastAsia="Times New Roman"/>
                <w:b w:val="0"/>
                <w:i w:val="0"/>
                <w:sz w:val="18"/>
              </w:rPr>
              <w:t>-7.031</w:t>
            </w:r>
          </w:p>
        </w:tc>
        <w:tc>
          <w:tcPr>
            <w:tcW w:type="dxa" w:w="1440"/>
          </w:tcPr>
          <w:p>
            <w:r/>
            <w:r>
              <w:rPr>
                <w:rFonts w:ascii="Times New Roman" w:hAnsi="Times New Roman" w:eastAsia="Times New Roman"/>
                <w:b w:val="0"/>
                <w:i w:val="0"/>
                <w:sz w:val="18"/>
              </w:rPr>
              <w:t>0.357</w:t>
            </w:r>
          </w:p>
        </w:tc>
        <w:tc>
          <w:tcPr>
            <w:tcW w:type="dxa" w:w="1440"/>
          </w:tcPr>
          <w:p>
            <w:r/>
            <w:r>
              <w:rPr>
                <w:rFonts w:ascii="Times New Roman" w:hAnsi="Times New Roman" w:eastAsia="Times New Roman"/>
                <w:b w:val="0"/>
                <w:i w:val="0"/>
                <w:sz w:val="18"/>
              </w:rPr>
              <w:t>0.217</w:t>
            </w:r>
          </w:p>
        </w:tc>
      </w:tr>
      <w:tr>
        <w:tc>
          <w:tcPr>
            <w:tcW w:type="dxa" w:w="1440"/>
          </w:tcPr>
          <w:p>
            <w:r/>
            <w:r>
              <w:rPr>
                <w:rFonts w:ascii="Times New Roman" w:hAnsi="Times New Roman" w:eastAsia="Times New Roman"/>
                <w:b w:val="0"/>
                <w:i w:val="0"/>
                <w:sz w:val="18"/>
              </w:rPr>
              <w:t>2</w:t>
            </w:r>
          </w:p>
        </w:tc>
        <w:tc>
          <w:tcPr>
            <w:tcW w:type="dxa" w:w="1440"/>
          </w:tcPr>
          <w:p>
            <w:r/>
            <w:r>
              <w:rPr>
                <w:rFonts w:ascii="Times New Roman" w:hAnsi="Times New Roman" w:eastAsia="Times New Roman"/>
                <w:b w:val="0"/>
                <w:i w:val="0"/>
                <w:sz w:val="18"/>
              </w:rPr>
              <w:t>climatology</w:t>
            </w:r>
          </w:p>
        </w:tc>
        <w:tc>
          <w:tcPr>
            <w:tcW w:type="dxa" w:w="1440"/>
          </w:tcPr>
          <w:p>
            <w:r/>
            <w:r>
              <w:rPr>
                <w:rFonts w:ascii="Times New Roman" w:hAnsi="Times New Roman" w:eastAsia="Times New Roman"/>
                <w:b w:val="0"/>
                <w:i w:val="0"/>
                <w:sz w:val="18"/>
              </w:rPr>
              <w:t>5.228</w:t>
            </w:r>
          </w:p>
        </w:tc>
        <w:tc>
          <w:tcPr>
            <w:tcW w:type="dxa" w:w="1440"/>
          </w:tcPr>
          <w:p>
            <w:r/>
            <w:r>
              <w:rPr>
                <w:rFonts w:ascii="Times New Roman" w:hAnsi="Times New Roman" w:eastAsia="Times New Roman"/>
                <w:b w:val="0"/>
                <w:i w:val="0"/>
                <w:sz w:val="18"/>
              </w:rPr>
              <w:t>0.000</w:t>
            </w:r>
          </w:p>
        </w:tc>
        <w:tc>
          <w:tcPr>
            <w:tcW w:type="dxa" w:w="1440"/>
          </w:tcPr>
          <w:p>
            <w:r/>
            <w:r>
              <w:rPr>
                <w:rFonts w:ascii="Times New Roman" w:hAnsi="Times New Roman" w:eastAsia="Times New Roman"/>
                <w:b w:val="0"/>
                <w:i w:val="0"/>
                <w:sz w:val="18"/>
              </w:rPr>
              <w:t>0.719</w:t>
            </w:r>
          </w:p>
        </w:tc>
        <w:tc>
          <w:tcPr>
            <w:tcW w:type="dxa" w:w="1440"/>
          </w:tcPr>
          <w:p>
            <w:r/>
            <w:r>
              <w:rPr>
                <w:rFonts w:ascii="Times New Roman" w:hAnsi="Times New Roman" w:eastAsia="Times New Roman"/>
                <w:b w:val="0"/>
                <w:i w:val="0"/>
                <w:sz w:val="18"/>
              </w:rPr>
              <w:t>0.561</w:t>
            </w:r>
          </w:p>
        </w:tc>
      </w:tr>
      <w:tr>
        <w:tc>
          <w:tcPr>
            <w:tcW w:type="dxa" w:w="1440"/>
          </w:tcPr>
          <w:p>
            <w:r/>
            <w:r>
              <w:rPr>
                <w:rFonts w:ascii="Times New Roman" w:hAnsi="Times New Roman" w:eastAsia="Times New Roman"/>
                <w:b w:val="0"/>
                <w:i w:val="0"/>
                <w:sz w:val="18"/>
              </w:rPr>
              <w:t>2</w:t>
            </w:r>
          </w:p>
        </w:tc>
        <w:tc>
          <w:tcPr>
            <w:tcW w:type="dxa" w:w="1440"/>
          </w:tcPr>
          <w:p>
            <w:r/>
            <w:r>
              <w:rPr>
                <w:rFonts w:ascii="Times New Roman" w:hAnsi="Times New Roman" w:eastAsia="Times New Roman"/>
                <w:b w:val="0"/>
                <w:i w:val="0"/>
                <w:sz w:val="18"/>
              </w:rPr>
              <w:t>st_transformer</w:t>
            </w:r>
          </w:p>
        </w:tc>
        <w:tc>
          <w:tcPr>
            <w:tcW w:type="dxa" w:w="1440"/>
          </w:tcPr>
          <w:p>
            <w:r/>
            <w:r>
              <w:rPr>
                <w:rFonts w:ascii="Times New Roman" w:hAnsi="Times New Roman" w:eastAsia="Times New Roman"/>
                <w:b w:val="0"/>
                <w:i w:val="0"/>
                <w:sz w:val="18"/>
              </w:rPr>
              <w:t>5.832</w:t>
            </w:r>
          </w:p>
        </w:tc>
        <w:tc>
          <w:tcPr>
            <w:tcW w:type="dxa" w:w="1440"/>
          </w:tcPr>
          <w:p>
            <w:r/>
            <w:r>
              <w:rPr>
                <w:rFonts w:ascii="Times New Roman" w:hAnsi="Times New Roman" w:eastAsia="Times New Roman"/>
                <w:b w:val="0"/>
                <w:i w:val="0"/>
                <w:sz w:val="18"/>
              </w:rPr>
              <w:t>-0.245</w:t>
            </w:r>
          </w:p>
        </w:tc>
        <w:tc>
          <w:tcPr>
            <w:tcW w:type="dxa" w:w="1440"/>
          </w:tcPr>
          <w:p>
            <w:r/>
            <w:r>
              <w:rPr>
                <w:rFonts w:ascii="Times New Roman" w:hAnsi="Times New Roman" w:eastAsia="Times New Roman"/>
                <w:b w:val="0"/>
                <w:i w:val="0"/>
                <w:sz w:val="18"/>
              </w:rPr>
              <w:t>0.701</w:t>
            </w:r>
          </w:p>
        </w:tc>
        <w:tc>
          <w:tcPr>
            <w:tcW w:type="dxa" w:w="1440"/>
          </w:tcPr>
          <w:p>
            <w:r/>
            <w:r>
              <w:rPr>
                <w:rFonts w:ascii="Times New Roman" w:hAnsi="Times New Roman" w:eastAsia="Times New Roman"/>
                <w:b w:val="0"/>
                <w:i w:val="0"/>
                <w:sz w:val="18"/>
              </w:rPr>
              <w:t>0.540</w:t>
            </w:r>
          </w:p>
        </w:tc>
      </w:tr>
      <w:tr>
        <w:tc>
          <w:tcPr>
            <w:tcW w:type="dxa" w:w="1440"/>
          </w:tcPr>
          <w:p>
            <w:r/>
            <w:r>
              <w:rPr>
                <w:rFonts w:ascii="Times New Roman" w:hAnsi="Times New Roman" w:eastAsia="Times New Roman"/>
                <w:b w:val="0"/>
                <w:i w:val="0"/>
                <w:sz w:val="18"/>
              </w:rPr>
              <w:t>2</w:t>
            </w:r>
          </w:p>
        </w:tc>
        <w:tc>
          <w:tcPr>
            <w:tcW w:type="dxa" w:w="1440"/>
          </w:tcPr>
          <w:p>
            <w:r/>
            <w:r>
              <w:rPr>
                <w:rFonts w:ascii="Times New Roman" w:hAnsi="Times New Roman" w:eastAsia="Times New Roman"/>
                <w:b w:val="0"/>
                <w:i w:val="0"/>
                <w:sz w:val="18"/>
              </w:rPr>
              <w:t>hybrid_clim_st</w:t>
            </w:r>
          </w:p>
        </w:tc>
        <w:tc>
          <w:tcPr>
            <w:tcW w:type="dxa" w:w="1440"/>
          </w:tcPr>
          <w:p>
            <w:r/>
            <w:r>
              <w:rPr>
                <w:rFonts w:ascii="Times New Roman" w:hAnsi="Times New Roman" w:eastAsia="Times New Roman"/>
                <w:b w:val="0"/>
                <w:i w:val="0"/>
                <w:sz w:val="18"/>
              </w:rPr>
              <w:t>5.083</w:t>
            </w:r>
          </w:p>
        </w:tc>
        <w:tc>
          <w:tcPr>
            <w:tcW w:type="dxa" w:w="1440"/>
          </w:tcPr>
          <w:p>
            <w:r/>
            <w:r>
              <w:rPr>
                <w:rFonts w:ascii="Times New Roman" w:hAnsi="Times New Roman" w:eastAsia="Times New Roman"/>
                <w:b w:val="0"/>
                <w:i w:val="0"/>
                <w:sz w:val="18"/>
              </w:rPr>
              <w:t>0.054</w:t>
            </w:r>
          </w:p>
        </w:tc>
        <w:tc>
          <w:tcPr>
            <w:tcW w:type="dxa" w:w="1440"/>
          </w:tcPr>
          <w:p>
            <w:r/>
            <w:r>
              <w:rPr>
                <w:rFonts w:ascii="Times New Roman" w:hAnsi="Times New Roman" w:eastAsia="Times New Roman"/>
                <w:b w:val="0"/>
                <w:i w:val="0"/>
                <w:sz w:val="18"/>
              </w:rPr>
              <w:t>0.742</w:t>
            </w:r>
          </w:p>
        </w:tc>
        <w:tc>
          <w:tcPr>
            <w:tcW w:type="dxa" w:w="1440"/>
          </w:tcPr>
          <w:p>
            <w:r/>
            <w:r>
              <w:rPr>
                <w:rFonts w:ascii="Times New Roman" w:hAnsi="Times New Roman" w:eastAsia="Times New Roman"/>
                <w:b w:val="0"/>
                <w:i w:val="0"/>
                <w:sz w:val="18"/>
              </w:rPr>
              <w:t>0.590</w:t>
            </w:r>
          </w:p>
        </w:tc>
      </w:tr>
      <w:tr>
        <w:tc>
          <w:tcPr>
            <w:tcW w:type="dxa" w:w="1440"/>
          </w:tcPr>
          <w:p>
            <w:r/>
            <w:r>
              <w:rPr>
                <w:rFonts w:ascii="Times New Roman" w:hAnsi="Times New Roman" w:eastAsia="Times New Roman"/>
                <w:b w:val="0"/>
                <w:i w:val="0"/>
                <w:sz w:val="18"/>
              </w:rPr>
              <w:t>3</w:t>
            </w:r>
          </w:p>
        </w:tc>
        <w:tc>
          <w:tcPr>
            <w:tcW w:type="dxa" w:w="1440"/>
          </w:tcPr>
          <w:p>
            <w:r/>
            <w:r>
              <w:rPr>
                <w:rFonts w:ascii="Times New Roman" w:hAnsi="Times New Roman" w:eastAsia="Times New Roman"/>
                <w:b w:val="0"/>
                <w:i w:val="0"/>
                <w:sz w:val="18"/>
              </w:rPr>
              <w:t>persistence</w:t>
            </w:r>
          </w:p>
        </w:tc>
        <w:tc>
          <w:tcPr>
            <w:tcW w:type="dxa" w:w="1440"/>
          </w:tcPr>
          <w:p>
            <w:r/>
            <w:r>
              <w:rPr>
                <w:rFonts w:ascii="Times New Roman" w:hAnsi="Times New Roman" w:eastAsia="Times New Roman"/>
                <w:b w:val="0"/>
                <w:i w:val="0"/>
                <w:sz w:val="18"/>
              </w:rPr>
              <w:t>20.319</w:t>
            </w:r>
          </w:p>
        </w:tc>
        <w:tc>
          <w:tcPr>
            <w:tcW w:type="dxa" w:w="1440"/>
          </w:tcPr>
          <w:p>
            <w:r/>
            <w:r>
              <w:rPr>
                <w:rFonts w:ascii="Times New Roman" w:hAnsi="Times New Roman" w:eastAsia="Times New Roman"/>
                <w:b w:val="0"/>
                <w:i w:val="0"/>
                <w:sz w:val="18"/>
              </w:rPr>
              <w:t>-14.233</w:t>
            </w:r>
          </w:p>
        </w:tc>
        <w:tc>
          <w:tcPr>
            <w:tcW w:type="dxa" w:w="1440"/>
          </w:tcPr>
          <w:p>
            <w:r/>
            <w:r>
              <w:rPr>
                <w:rFonts w:ascii="Times New Roman" w:hAnsi="Times New Roman" w:eastAsia="Times New Roman"/>
                <w:b w:val="0"/>
                <w:i w:val="0"/>
                <w:sz w:val="18"/>
              </w:rPr>
              <w:t>0.235</w:t>
            </w:r>
          </w:p>
        </w:tc>
        <w:tc>
          <w:tcPr>
            <w:tcW w:type="dxa" w:w="1440"/>
          </w:tcPr>
          <w:p>
            <w:r/>
            <w:r>
              <w:rPr>
                <w:rFonts w:ascii="Times New Roman" w:hAnsi="Times New Roman" w:eastAsia="Times New Roman"/>
                <w:b w:val="0"/>
                <w:i w:val="0"/>
                <w:sz w:val="18"/>
              </w:rPr>
              <w:t>0.133</w:t>
            </w:r>
          </w:p>
        </w:tc>
      </w:tr>
      <w:tr>
        <w:tc>
          <w:tcPr>
            <w:tcW w:type="dxa" w:w="1440"/>
          </w:tcPr>
          <w:p>
            <w:r/>
            <w:r>
              <w:rPr>
                <w:rFonts w:ascii="Times New Roman" w:hAnsi="Times New Roman" w:eastAsia="Times New Roman"/>
                <w:b w:val="0"/>
                <w:i w:val="0"/>
                <w:sz w:val="18"/>
              </w:rPr>
              <w:t>3</w:t>
            </w:r>
          </w:p>
        </w:tc>
        <w:tc>
          <w:tcPr>
            <w:tcW w:type="dxa" w:w="1440"/>
          </w:tcPr>
          <w:p>
            <w:r/>
            <w:r>
              <w:rPr>
                <w:rFonts w:ascii="Times New Roman" w:hAnsi="Times New Roman" w:eastAsia="Times New Roman"/>
                <w:b w:val="0"/>
                <w:i w:val="0"/>
                <w:sz w:val="18"/>
              </w:rPr>
              <w:t>climatology</w:t>
            </w:r>
          </w:p>
        </w:tc>
        <w:tc>
          <w:tcPr>
            <w:tcW w:type="dxa" w:w="1440"/>
          </w:tcPr>
          <w:p>
            <w:r/>
            <w:r>
              <w:rPr>
                <w:rFonts w:ascii="Times New Roman" w:hAnsi="Times New Roman" w:eastAsia="Times New Roman"/>
                <w:b w:val="0"/>
                <w:i w:val="0"/>
                <w:sz w:val="18"/>
              </w:rPr>
              <w:t>5.206</w:t>
            </w:r>
          </w:p>
        </w:tc>
        <w:tc>
          <w:tcPr>
            <w:tcW w:type="dxa" w:w="1440"/>
          </w:tcPr>
          <w:p>
            <w:r/>
            <w:r>
              <w:rPr>
                <w:rFonts w:ascii="Times New Roman" w:hAnsi="Times New Roman" w:eastAsia="Times New Roman"/>
                <w:b w:val="0"/>
                <w:i w:val="0"/>
                <w:sz w:val="18"/>
              </w:rPr>
              <w:t>0.000</w:t>
            </w:r>
          </w:p>
        </w:tc>
        <w:tc>
          <w:tcPr>
            <w:tcW w:type="dxa" w:w="1440"/>
          </w:tcPr>
          <w:p>
            <w:r/>
            <w:r>
              <w:rPr>
                <w:rFonts w:ascii="Times New Roman" w:hAnsi="Times New Roman" w:eastAsia="Times New Roman"/>
                <w:b w:val="0"/>
                <w:i w:val="0"/>
                <w:sz w:val="18"/>
              </w:rPr>
              <w:t>0.700</w:t>
            </w:r>
          </w:p>
        </w:tc>
        <w:tc>
          <w:tcPr>
            <w:tcW w:type="dxa" w:w="1440"/>
          </w:tcPr>
          <w:p>
            <w:r/>
            <w:r>
              <w:rPr>
                <w:rFonts w:ascii="Times New Roman" w:hAnsi="Times New Roman" w:eastAsia="Times New Roman"/>
                <w:b w:val="0"/>
                <w:i w:val="0"/>
                <w:sz w:val="18"/>
              </w:rPr>
              <w:t>0.539</w:t>
            </w:r>
          </w:p>
        </w:tc>
      </w:tr>
      <w:tr>
        <w:tc>
          <w:tcPr>
            <w:tcW w:type="dxa" w:w="1440"/>
          </w:tcPr>
          <w:p>
            <w:r/>
            <w:r>
              <w:rPr>
                <w:rFonts w:ascii="Times New Roman" w:hAnsi="Times New Roman" w:eastAsia="Times New Roman"/>
                <w:b w:val="0"/>
                <w:i w:val="0"/>
                <w:sz w:val="18"/>
              </w:rPr>
              <w:t>3</w:t>
            </w:r>
          </w:p>
        </w:tc>
        <w:tc>
          <w:tcPr>
            <w:tcW w:type="dxa" w:w="1440"/>
          </w:tcPr>
          <w:p>
            <w:r/>
            <w:r>
              <w:rPr>
                <w:rFonts w:ascii="Times New Roman" w:hAnsi="Times New Roman" w:eastAsia="Times New Roman"/>
                <w:b w:val="0"/>
                <w:i w:val="0"/>
                <w:sz w:val="18"/>
              </w:rPr>
              <w:t>st_transformer</w:t>
            </w:r>
          </w:p>
        </w:tc>
        <w:tc>
          <w:tcPr>
            <w:tcW w:type="dxa" w:w="1440"/>
          </w:tcPr>
          <w:p>
            <w:r/>
            <w:r>
              <w:rPr>
                <w:rFonts w:ascii="Times New Roman" w:hAnsi="Times New Roman" w:eastAsia="Times New Roman"/>
                <w:b w:val="0"/>
                <w:i w:val="0"/>
                <w:sz w:val="18"/>
              </w:rPr>
              <w:t>9.810</w:t>
            </w:r>
          </w:p>
        </w:tc>
        <w:tc>
          <w:tcPr>
            <w:tcW w:type="dxa" w:w="1440"/>
          </w:tcPr>
          <w:p>
            <w:r/>
            <w:r>
              <w:rPr>
                <w:rFonts w:ascii="Times New Roman" w:hAnsi="Times New Roman" w:eastAsia="Times New Roman"/>
                <w:b w:val="0"/>
                <w:i w:val="0"/>
                <w:sz w:val="18"/>
              </w:rPr>
              <w:t>-2.551</w:t>
            </w:r>
          </w:p>
        </w:tc>
        <w:tc>
          <w:tcPr>
            <w:tcW w:type="dxa" w:w="1440"/>
          </w:tcPr>
          <w:p>
            <w:r/>
            <w:r>
              <w:rPr>
                <w:rFonts w:ascii="Times New Roman" w:hAnsi="Times New Roman" w:eastAsia="Times New Roman"/>
                <w:b w:val="0"/>
                <w:i w:val="0"/>
                <w:sz w:val="18"/>
              </w:rPr>
              <w:t>0.537</w:t>
            </w:r>
          </w:p>
        </w:tc>
        <w:tc>
          <w:tcPr>
            <w:tcW w:type="dxa" w:w="1440"/>
          </w:tcPr>
          <w:p>
            <w:r/>
            <w:r>
              <w:rPr>
                <w:rFonts w:ascii="Times New Roman" w:hAnsi="Times New Roman" w:eastAsia="Times New Roman"/>
                <w:b w:val="0"/>
                <w:i w:val="0"/>
                <w:sz w:val="18"/>
              </w:rPr>
              <w:t>0.367</w:t>
            </w:r>
          </w:p>
        </w:tc>
      </w:tr>
      <w:tr>
        <w:tc>
          <w:tcPr>
            <w:tcW w:type="dxa" w:w="1440"/>
          </w:tcPr>
          <w:p>
            <w:r/>
            <w:r>
              <w:rPr>
                <w:rFonts w:ascii="Times New Roman" w:hAnsi="Times New Roman" w:eastAsia="Times New Roman"/>
                <w:b w:val="0"/>
                <w:i w:val="0"/>
                <w:sz w:val="18"/>
              </w:rPr>
              <w:t>3</w:t>
            </w:r>
          </w:p>
        </w:tc>
        <w:tc>
          <w:tcPr>
            <w:tcW w:type="dxa" w:w="1440"/>
          </w:tcPr>
          <w:p>
            <w:r/>
            <w:r>
              <w:rPr>
                <w:rFonts w:ascii="Times New Roman" w:hAnsi="Times New Roman" w:eastAsia="Times New Roman"/>
                <w:b w:val="0"/>
                <w:i w:val="0"/>
                <w:sz w:val="18"/>
              </w:rPr>
              <w:t>hybrid_clim_st</w:t>
            </w:r>
          </w:p>
        </w:tc>
        <w:tc>
          <w:tcPr>
            <w:tcW w:type="dxa" w:w="1440"/>
          </w:tcPr>
          <w:p>
            <w:r/>
            <w:r>
              <w:rPr>
                <w:rFonts w:ascii="Times New Roman" w:hAnsi="Times New Roman" w:eastAsia="Times New Roman"/>
                <w:b w:val="0"/>
                <w:i w:val="0"/>
                <w:sz w:val="18"/>
              </w:rPr>
              <w:t>5.222</w:t>
            </w:r>
          </w:p>
        </w:tc>
        <w:tc>
          <w:tcPr>
            <w:tcW w:type="dxa" w:w="1440"/>
          </w:tcPr>
          <w:p>
            <w:r/>
            <w:r>
              <w:rPr>
                <w:rFonts w:ascii="Times New Roman" w:hAnsi="Times New Roman" w:eastAsia="Times New Roman"/>
                <w:b w:val="0"/>
                <w:i w:val="0"/>
                <w:sz w:val="18"/>
              </w:rPr>
              <w:t>-0.006</w:t>
            </w:r>
          </w:p>
        </w:tc>
        <w:tc>
          <w:tcPr>
            <w:tcW w:type="dxa" w:w="1440"/>
          </w:tcPr>
          <w:p>
            <w:r/>
            <w:r>
              <w:rPr>
                <w:rFonts w:ascii="Times New Roman" w:hAnsi="Times New Roman" w:eastAsia="Times New Roman"/>
                <w:b w:val="0"/>
                <w:i w:val="0"/>
                <w:sz w:val="18"/>
              </w:rPr>
              <w:t>0.703</w:t>
            </w:r>
          </w:p>
        </w:tc>
        <w:tc>
          <w:tcPr>
            <w:tcW w:type="dxa" w:w="1440"/>
          </w:tcPr>
          <w:p>
            <w:r/>
            <w:r>
              <w:rPr>
                <w:rFonts w:ascii="Times New Roman" w:hAnsi="Times New Roman" w:eastAsia="Times New Roman"/>
                <w:b w:val="0"/>
                <w:i w:val="0"/>
                <w:sz w:val="18"/>
              </w:rPr>
              <w:t>0.542</w:t>
            </w:r>
          </w:p>
        </w:tc>
      </w:tr>
    </w:tbl>
    <w:p>
      <w:pPr>
        <w:spacing w:before="80" w:after="200"/>
        <w:jc w:val="center"/>
      </w:pPr>
      <w:r>
        <w:rPr>
          <w:rFonts w:ascii="Times New Roman" w:hAnsi="Times New Roman" w:eastAsia="Times New Roman"/>
          <w:b w:val="0"/>
          <w:i w:val="0"/>
          <w:sz w:val="20"/>
        </w:rPr>
        <w:t>Table 3. East China Sea shelf oxygen multi-lead scores (µmol kg⁻¹ RMSE).</w:t>
      </w:r>
    </w:p>
    <w:p>
      <w:pPr>
        <w:spacing w:before="240" w:after="120"/>
      </w:pPr>
      <w:r>
        <w:rPr>
          <w:rFonts w:ascii="Times New Roman" w:hAnsi="Times New Roman" w:eastAsia="Times New Roman"/>
          <w:b/>
          <w:i w:val="0"/>
          <w:sz w:val="22"/>
        </w:rPr>
        <w:t>3.4 Where residuals live</w:t>
      </w:r>
    </w:p>
    <w:p>
      <w:pPr>
        <w:spacing w:line="480" w:lineRule="auto"/>
        <w:ind w:firstLine="360"/>
      </w:pPr>
      <w:r>
        <w:rPr>
          <w:rFonts w:ascii="Times New Roman" w:hAnsi="Times New Roman" w:eastAsia="Times New Roman"/>
          <w:b w:val="0"/>
          <w:i w:val="0"/>
          <w:sz w:val="22"/>
        </w:rPr>
        <w:t>Coastal-proximity high tercile MAE is 3.30 µmol kg⁻¹ versus 2.95–2.97 offshore and mid (Table 4). Depth MAE peaks at 50 dbar. SST-front terciles are not monotonic on this cube; frontal process skill is not claimed until a time-varying oxygen target is used.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Times New Roman"/>
                <w:b/>
                <w:i w:val="0"/>
                <w:sz w:val="18"/>
              </w:rPr>
              <w:t>Coastal tercile</w:t>
            </w:r>
          </w:p>
        </w:tc>
        <w:tc>
          <w:tcPr>
            <w:tcW w:type="dxa" w:w="2160"/>
          </w:tcPr>
          <w:p>
            <w:r/>
            <w:r>
              <w:rPr>
                <w:rFonts w:ascii="Times New Roman" w:hAnsi="Times New Roman" w:eastAsia="Times New Roman"/>
                <w:b/>
                <w:i w:val="0"/>
                <w:sz w:val="18"/>
              </w:rPr>
              <w:t>N cells</w:t>
            </w:r>
          </w:p>
        </w:tc>
        <w:tc>
          <w:tcPr>
            <w:tcW w:type="dxa" w:w="2160"/>
          </w:tcPr>
          <w:p>
            <w:r/>
            <w:r>
              <w:rPr>
                <w:rFonts w:ascii="Times New Roman" w:hAnsi="Times New Roman" w:eastAsia="Times New Roman"/>
                <w:b/>
                <w:i w:val="0"/>
                <w:sz w:val="18"/>
              </w:rPr>
              <w:t>MAE</w:t>
            </w:r>
          </w:p>
        </w:tc>
        <w:tc>
          <w:tcPr>
            <w:tcW w:type="dxa" w:w="2160"/>
          </w:tcPr>
          <w:p>
            <w:r/>
            <w:r>
              <w:rPr>
                <w:rFonts w:ascii="Times New Roman" w:hAnsi="Times New Roman" w:eastAsia="Times New Roman"/>
                <w:b/>
                <w:i w:val="0"/>
                <w:sz w:val="18"/>
              </w:rPr>
              <w:t>P90 MAE</w:t>
            </w:r>
          </w:p>
        </w:tc>
      </w:tr>
      <w:tr>
        <w:tc>
          <w:tcPr>
            <w:tcW w:type="dxa" w:w="2160"/>
          </w:tcPr>
          <w:p>
            <w:r/>
            <w:r>
              <w:rPr>
                <w:rFonts w:ascii="Times New Roman" w:hAnsi="Times New Roman" w:eastAsia="Times New Roman"/>
                <w:b w:val="0"/>
                <w:i w:val="0"/>
                <w:sz w:val="18"/>
              </w:rPr>
              <w:t>low</w:t>
            </w:r>
          </w:p>
        </w:tc>
        <w:tc>
          <w:tcPr>
            <w:tcW w:type="dxa" w:w="2160"/>
          </w:tcPr>
          <w:p>
            <w:r/>
            <w:r>
              <w:rPr>
                <w:rFonts w:ascii="Times New Roman" w:hAnsi="Times New Roman" w:eastAsia="Times New Roman"/>
                <w:b w:val="0"/>
                <w:i w:val="0"/>
                <w:sz w:val="18"/>
              </w:rPr>
              <w:t>648</w:t>
            </w:r>
          </w:p>
        </w:tc>
        <w:tc>
          <w:tcPr>
            <w:tcW w:type="dxa" w:w="2160"/>
          </w:tcPr>
          <w:p>
            <w:r/>
            <w:r>
              <w:rPr>
                <w:rFonts w:ascii="Times New Roman" w:hAnsi="Times New Roman" w:eastAsia="Times New Roman"/>
                <w:b w:val="0"/>
                <w:i w:val="0"/>
                <w:sz w:val="18"/>
              </w:rPr>
              <w:t>2.968</w:t>
            </w:r>
          </w:p>
        </w:tc>
        <w:tc>
          <w:tcPr>
            <w:tcW w:type="dxa" w:w="2160"/>
          </w:tcPr>
          <w:p>
            <w:r/>
            <w:r>
              <w:rPr>
                <w:rFonts w:ascii="Times New Roman" w:hAnsi="Times New Roman" w:eastAsia="Times New Roman"/>
                <w:b w:val="0"/>
                <w:i w:val="0"/>
                <w:sz w:val="18"/>
              </w:rPr>
              <w:t>4.228</w:t>
            </w:r>
          </w:p>
        </w:tc>
      </w:tr>
      <w:tr>
        <w:tc>
          <w:tcPr>
            <w:tcW w:type="dxa" w:w="2160"/>
          </w:tcPr>
          <w:p>
            <w:r/>
            <w:r>
              <w:rPr>
                <w:rFonts w:ascii="Times New Roman" w:hAnsi="Times New Roman" w:eastAsia="Times New Roman"/>
                <w:b w:val="0"/>
                <w:i w:val="0"/>
                <w:sz w:val="18"/>
              </w:rPr>
              <w:t>mid</w:t>
            </w:r>
          </w:p>
        </w:tc>
        <w:tc>
          <w:tcPr>
            <w:tcW w:type="dxa" w:w="2160"/>
          </w:tcPr>
          <w:p>
            <w:r/>
            <w:r>
              <w:rPr>
                <w:rFonts w:ascii="Times New Roman" w:hAnsi="Times New Roman" w:eastAsia="Times New Roman"/>
                <w:b w:val="0"/>
                <w:i w:val="0"/>
                <w:sz w:val="18"/>
              </w:rPr>
              <w:t>648</w:t>
            </w:r>
          </w:p>
        </w:tc>
        <w:tc>
          <w:tcPr>
            <w:tcW w:type="dxa" w:w="2160"/>
          </w:tcPr>
          <w:p>
            <w:r/>
            <w:r>
              <w:rPr>
                <w:rFonts w:ascii="Times New Roman" w:hAnsi="Times New Roman" w:eastAsia="Times New Roman"/>
                <w:b w:val="0"/>
                <w:i w:val="0"/>
                <w:sz w:val="18"/>
              </w:rPr>
              <w:t>2.947</w:t>
            </w:r>
          </w:p>
        </w:tc>
        <w:tc>
          <w:tcPr>
            <w:tcW w:type="dxa" w:w="2160"/>
          </w:tcPr>
          <w:p>
            <w:r/>
            <w:r>
              <w:rPr>
                <w:rFonts w:ascii="Times New Roman" w:hAnsi="Times New Roman" w:eastAsia="Times New Roman"/>
                <w:b w:val="0"/>
                <w:i w:val="0"/>
                <w:sz w:val="18"/>
              </w:rPr>
              <w:t>4.114</w:t>
            </w:r>
          </w:p>
        </w:tc>
      </w:tr>
      <w:tr>
        <w:tc>
          <w:tcPr>
            <w:tcW w:type="dxa" w:w="2160"/>
          </w:tcPr>
          <w:p>
            <w:r/>
            <w:r>
              <w:rPr>
                <w:rFonts w:ascii="Times New Roman" w:hAnsi="Times New Roman" w:eastAsia="Times New Roman"/>
                <w:b w:val="0"/>
                <w:i w:val="0"/>
                <w:sz w:val="18"/>
              </w:rPr>
              <w:t>high</w:t>
            </w:r>
          </w:p>
        </w:tc>
        <w:tc>
          <w:tcPr>
            <w:tcW w:type="dxa" w:w="2160"/>
          </w:tcPr>
          <w:p>
            <w:r/>
            <w:r>
              <w:rPr>
                <w:rFonts w:ascii="Times New Roman" w:hAnsi="Times New Roman" w:eastAsia="Times New Roman"/>
                <w:b w:val="0"/>
                <w:i w:val="0"/>
                <w:sz w:val="18"/>
              </w:rPr>
              <w:t>864</w:t>
            </w:r>
          </w:p>
        </w:tc>
        <w:tc>
          <w:tcPr>
            <w:tcW w:type="dxa" w:w="2160"/>
          </w:tcPr>
          <w:p>
            <w:r/>
            <w:r>
              <w:rPr>
                <w:rFonts w:ascii="Times New Roman" w:hAnsi="Times New Roman" w:eastAsia="Times New Roman"/>
                <w:b w:val="0"/>
                <w:i w:val="0"/>
                <w:sz w:val="18"/>
              </w:rPr>
              <w:t>3.299</w:t>
            </w:r>
          </w:p>
        </w:tc>
        <w:tc>
          <w:tcPr>
            <w:tcW w:type="dxa" w:w="2160"/>
          </w:tcPr>
          <w:p>
            <w:r/>
            <w:r>
              <w:rPr>
                <w:rFonts w:ascii="Times New Roman" w:hAnsi="Times New Roman" w:eastAsia="Times New Roman"/>
                <w:b w:val="0"/>
                <w:i w:val="0"/>
                <w:sz w:val="18"/>
              </w:rPr>
              <w:t>4.890</w:t>
            </w:r>
          </w:p>
        </w:tc>
      </w:tr>
    </w:tbl>
    <w:p>
      <w:pPr>
        <w:spacing w:before="80" w:after="200"/>
        <w:jc w:val="center"/>
      </w:pPr>
      <w:r>
        <w:rPr>
          <w:rFonts w:ascii="Times New Roman" w:hAnsi="Times New Roman" w:eastAsia="Times New Roman"/>
          <w:b w:val="0"/>
          <w:i w:val="0"/>
          <w:sz w:val="20"/>
        </w:rPr>
        <w:t>Table 4. Lead-1 oxygen MAE by coastal-proximity tercile.</w:t>
      </w:r>
    </w:p>
    <w:p>
      <w:pPr>
        <w:spacing w:before="240" w:after="120"/>
      </w:pPr>
      <w:r>
        <w:rPr>
          <w:rFonts w:ascii="Times New Roman" w:hAnsi="Times New Roman" w:eastAsia="Times New Roman"/>
          <w:b/>
          <w:i w:val="0"/>
          <w:sz w:val="22"/>
        </w:rPr>
        <w:t>3.5 Protocol figures</w:t>
      </w:r>
    </w:p>
    <w:p>
      <w:pPr>
        <w:jc w:val="center"/>
      </w:pPr>
      <w:r>
        <w:drawing>
          <wp:inline xmlns:a="http://schemas.openxmlformats.org/drawingml/2006/main" xmlns:pic="http://schemas.openxmlformats.org/drawingml/2006/picture">
            <wp:extent cx="5760720" cy="4193860"/>
            <wp:docPr id="1" name="Picture 1"/>
            <wp:cNvGraphicFramePr>
              <a:graphicFrameLocks noChangeAspect="1"/>
            </wp:cNvGraphicFramePr>
            <a:graphic>
              <a:graphicData uri="http://schemas.openxmlformats.org/drawingml/2006/picture">
                <pic:pic>
                  <pic:nvPicPr>
                    <pic:cNvPr id="0" name="fig_information_bottleneck.png"/>
                    <pic:cNvPicPr/>
                  </pic:nvPicPr>
                  <pic:blipFill>
                    <a:blip r:embed="rId9"/>
                    <a:stretch>
                      <a:fillRect/>
                    </a:stretch>
                  </pic:blipFill>
                  <pic:spPr>
                    <a:xfrm>
                      <a:off x="0" y="0"/>
                      <a:ext cx="5760720" cy="4193860"/>
                    </a:xfrm>
                    <a:prstGeom prst="rect"/>
                  </pic:spPr>
                </pic:pic>
              </a:graphicData>
            </a:graphic>
          </wp:inline>
        </w:drawing>
      </w:r>
    </w:p>
    <w:p>
      <w:pPr>
        <w:spacing w:before="80" w:after="200"/>
        <w:jc w:val="center"/>
      </w:pPr>
      <w:r>
        <w:rPr>
          <w:rFonts w:ascii="Times New Roman" w:hAnsi="Times New Roman" w:eastAsia="Times New Roman"/>
          <w:b w:val="0"/>
          <w:i w:val="0"/>
          <w:sz w:val="20"/>
        </w:rPr>
        <w:t>Fig. 1. Information-value protocol. (a) Climate-conditional gauge ΔNSE. (b) P90 flood CSI versus lead. (c) Oxygen RMSE versus lead. (d) Oracle precipitation ceiling.</w:t>
      </w:r>
    </w:p>
    <w:p>
      <w:pPr>
        <w:jc w:val="center"/>
      </w:pPr>
      <w:r>
        <w:drawing>
          <wp:inline xmlns:a="http://schemas.openxmlformats.org/drawingml/2006/main" xmlns:pic="http://schemas.openxmlformats.org/drawingml/2006/picture">
            <wp:extent cx="4389120" cy="2942917"/>
            <wp:docPr id="2" name="Picture 2"/>
            <wp:cNvGraphicFramePr>
              <a:graphicFrameLocks noChangeAspect="1"/>
            </wp:cNvGraphicFramePr>
            <a:graphic>
              <a:graphicData uri="http://schemas.openxmlformats.org/drawingml/2006/picture">
                <pic:pic>
                  <pic:nvPicPr>
                    <pic:cNvPr id="0" name="fig_ocean_coastal_failure.png"/>
                    <pic:cNvPicPr/>
                  </pic:nvPicPr>
                  <pic:blipFill>
                    <a:blip r:embed="rId10"/>
                    <a:stretch>
                      <a:fillRect/>
                    </a:stretch>
                  </pic:blipFill>
                  <pic:spPr>
                    <a:xfrm>
                      <a:off x="0" y="0"/>
                      <a:ext cx="4389120" cy="2942917"/>
                    </a:xfrm>
                    <a:prstGeom prst="rect"/>
                  </pic:spPr>
                </pic:pic>
              </a:graphicData>
            </a:graphic>
          </wp:inline>
        </w:drawing>
      </w:r>
    </w:p>
    <w:p>
      <w:pPr>
        <w:spacing w:before="80" w:after="200"/>
        <w:jc w:val="center"/>
      </w:pPr>
      <w:r>
        <w:rPr>
          <w:rFonts w:ascii="Times New Roman" w:hAnsi="Times New Roman" w:eastAsia="Times New Roman"/>
          <w:b w:val="0"/>
          <w:i w:val="0"/>
          <w:sz w:val="20"/>
        </w:rPr>
        <w:t>Fig. 2. Coastal concentration of oxygen residuals on the development cube.</w:t>
      </w:r>
    </w:p>
    <w:p>
      <w:pPr>
        <w:spacing w:before="240" w:after="120"/>
      </w:pPr>
      <w:r>
        <w:rPr>
          <w:rFonts w:ascii="Times New Roman" w:hAnsi="Times New Roman" w:eastAsia="Times New Roman"/>
          <w:b/>
          <w:i w:val="0"/>
          <w:sz w:val="24"/>
        </w:rPr>
        <w:t>4. Discussion</w:t>
      </w:r>
    </w:p>
    <w:p>
      <w:pPr>
        <w:spacing w:line="480" w:lineRule="auto"/>
        <w:ind w:firstLine="360"/>
      </w:pPr>
      <w:r>
        <w:rPr>
          <w:rFonts w:ascii="Times New Roman" w:hAnsi="Times New Roman" w:eastAsia="Times New Roman"/>
          <w:b w:val="0"/>
          <w:i w:val="0"/>
          <w:sz w:val="22"/>
        </w:rPr>
        <w:t>The two media share one sentence: learned forecasts add skill only while the limiting input is present. On rivers that input is unsaturated autocorrelation plus usable precipitation foresight; on the shelf it is dense recent oxygen, and even then only near a one-month lead. Reporting only NSE on the Potomac, or only RMSE on a dense oxygen cube, hides both bottlenecks.</w:t>
      </w:r>
    </w:p>
    <w:p>
      <w:pPr>
        <w:spacing w:line="480" w:lineRule="auto"/>
        <w:ind w:firstLine="360"/>
      </w:pPr>
      <w:r>
        <w:rPr>
          <w:rFonts w:ascii="Times New Roman" w:hAnsi="Times New Roman" w:eastAsia="Times New Roman"/>
          <w:b w:val="0"/>
          <w:i w:val="0"/>
          <w:sz w:val="22"/>
        </w:rPr>
        <w:t>Discharge and oxygen are not trained as one network. The shared object is the protocol. A sister study treats operational missingness as the factor that reverses imputer rankings [9]; this paper treats lead time and missing drivers as the factors that reverse forecast rankings. Limitations include a USGS-centric climate ladder, a WOA-informed oxygen cube, flood CSI from one mid-Atlantic pair, and the absence of GEFS ensemble probabilities.</w:t>
      </w:r>
    </w:p>
    <w:p>
      <w:pPr>
        <w:spacing w:before="240" w:after="120"/>
      </w:pPr>
      <w:r>
        <w:rPr>
          <w:rFonts w:ascii="Times New Roman" w:hAnsi="Times New Roman" w:eastAsia="Times New Roman"/>
          <w:b/>
          <w:i w:val="0"/>
          <w:sz w:val="24"/>
        </w:rPr>
        <w:t>5. Conclusions</w:t>
      </w:r>
    </w:p>
    <w:p>
      <w:pPr>
        <w:spacing w:line="480" w:lineRule="auto"/>
        <w:ind w:firstLine="360"/>
      </w:pPr>
      <w:r>
        <w:rPr>
          <w:rFonts w:ascii="Times New Roman" w:hAnsi="Times New Roman" w:eastAsia="Times New Roman"/>
          <w:b w:val="0"/>
          <w:i w:val="0"/>
          <w:sz w:val="22"/>
        </w:rPr>
        <w:t>A four-part information-value protocol—simple baseline, event score, information ceiling, failure locus—yields consistent conclusions on rivers and a shelf oxygen cube without a new architecture. Operational recipes are conditional: routing or a learned next-day flow depending on climate; a Transformer for oxygen at one month and climatology or a hybrid thereafter; never treat dense-history scores as Argo-ready skill.</w:t>
      </w:r>
    </w:p>
    <w:p>
      <w:pPr>
        <w:spacing w:before="240" w:after="120"/>
      </w:pPr>
      <w:r>
        <w:rPr>
          <w:rFonts w:ascii="Times New Roman" w:hAnsi="Times New Roman" w:eastAsia="Times New Roman"/>
          <w:b/>
          <w:i w:val="0"/>
          <w:sz w:val="24"/>
        </w:rPr>
        <w:t>CRediT authorship contribution statement</w:t>
      </w:r>
    </w:p>
    <w:p>
      <w:pPr>
        <w:spacing w:line="480" w:lineRule="auto"/>
        <w:ind w:firstLine="360"/>
      </w:pPr>
      <w:r>
        <w:rPr>
          <w:rFonts w:ascii="Times New Roman" w:hAnsi="Times New Roman" w:eastAsia="Times New Roman"/>
          <w:b w:val="0"/>
          <w:i w:val="0"/>
          <w:sz w:val="22"/>
        </w:rPr>
        <w:t>Senjie Zhang: Conceptualization, Methodology, Software, Formal analysis, Visualization, Writing — original draft.</w:t>
      </w:r>
    </w:p>
    <w:p>
      <w:pPr>
        <w:spacing w:before="240" w:after="120"/>
      </w:pPr>
      <w:r>
        <w:rPr>
          <w:rFonts w:ascii="Times New Roman" w:hAnsi="Times New Roman" w:eastAsia="Times New Roman"/>
          <w:b/>
          <w:i w:val="0"/>
          <w:sz w:val="24"/>
        </w:rPr>
        <w:t>Declaration of competing interest</w:t>
      </w:r>
    </w:p>
    <w:p>
      <w:pPr>
        <w:spacing w:line="480" w:lineRule="auto"/>
        <w:ind w:firstLine="360"/>
      </w:pPr>
      <w:r>
        <w:rPr>
          <w:rFonts w:ascii="Times New Roman" w:hAnsi="Times New Roman" w:eastAsia="Times New Roman"/>
          <w:b w:val="0"/>
          <w:i w:val="0"/>
          <w:sz w:val="22"/>
        </w:rPr>
        <w:t>The author declares that there are no competing interests.</w:t>
      </w:r>
    </w:p>
    <w:p>
      <w:pPr>
        <w:spacing w:before="240" w:after="120"/>
      </w:pPr>
      <w:r>
        <w:rPr>
          <w:rFonts w:ascii="Times New Roman" w:hAnsi="Times New Roman" w:eastAsia="Times New Roman"/>
          <w:b/>
          <w:i w:val="0"/>
          <w:sz w:val="24"/>
        </w:rPr>
        <w:t>Funding</w:t>
      </w:r>
    </w:p>
    <w:p>
      <w:pPr>
        <w:spacing w:line="480" w:lineRule="auto"/>
        <w:ind w:firstLine="360"/>
      </w:pPr>
      <w:r>
        <w:rPr>
          <w:rFonts w:ascii="Times New Roman" w:hAnsi="Times New Roman" w:eastAsia="Times New Roman"/>
          <w:b w:val="0"/>
          <w:i w:val="0"/>
          <w:sz w:val="22"/>
        </w:rPr>
        <w:t>This research received no external funding.</w:t>
      </w:r>
    </w:p>
    <w:p>
      <w:pPr>
        <w:spacing w:before="240" w:after="120"/>
      </w:pPr>
      <w:r>
        <w:rPr>
          <w:rFonts w:ascii="Times New Roman" w:hAnsi="Times New Roman" w:eastAsia="Times New Roman"/>
          <w:b/>
          <w:i w:val="0"/>
          <w:sz w:val="24"/>
        </w:rPr>
        <w:t>Data availability</w:t>
      </w:r>
    </w:p>
    <w:p>
      <w:pPr>
        <w:spacing w:line="480" w:lineRule="auto"/>
        <w:ind w:firstLine="360"/>
      </w:pPr>
      <w:r>
        <w:rPr>
          <w:rFonts w:ascii="Times New Roman" w:hAnsi="Times New Roman" w:eastAsia="Times New Roman"/>
          <w:b w:val="0"/>
          <w:i w:val="0"/>
          <w:sz w:val="22"/>
        </w:rPr>
        <w:t>Frozen tables and figure sources: https://github.com/Az0998/forecast-information-value (accessed 26 August 2026). Discharge from USGS NWIS; meteorology from Open-Meteo; oxygen cube from WOA / OISST with ERA5-backed wind.</w:t>
      </w:r>
    </w:p>
    <w:p>
      <w:pPr>
        <w:spacing w:before="240" w:after="120"/>
      </w:pPr>
      <w:r>
        <w:rPr>
          <w:rFonts w:ascii="Times New Roman" w:hAnsi="Times New Roman" w:eastAsia="Times New Roman"/>
          <w:b/>
          <w:i w:val="0"/>
          <w:sz w:val="24"/>
        </w:rPr>
        <w:t>Acknowledgments</w:t>
      </w:r>
    </w:p>
    <w:p>
      <w:pPr>
        <w:spacing w:line="480" w:lineRule="auto"/>
        <w:ind w:firstLine="360"/>
      </w:pPr>
      <w:r>
        <w:rPr>
          <w:rFonts w:ascii="Times New Roman" w:hAnsi="Times New Roman" w:eastAsia="Times New Roman"/>
          <w:b w:val="0"/>
          <w:i w:val="0"/>
          <w:sz w:val="22"/>
        </w:rPr>
        <w:t>The author thanks the USGS, NOAA WOA/OISST, and Open-Meteo data providers.</w:t>
      </w:r>
    </w:p>
    <w:p>
      <w:pPr>
        <w:spacing w:before="240" w:after="120"/>
      </w:pPr>
      <w:r>
        <w:rPr>
          <w:rFonts w:ascii="Times New Roman" w:hAnsi="Times New Roman" w:eastAsia="Times New Roman"/>
          <w:b/>
          <w:i w:val="0"/>
          <w:sz w:val="24"/>
        </w:rPr>
        <w:t>References</w:t>
      </w:r>
    </w:p>
    <w:p>
      <w:pPr>
        <w:spacing w:after="40"/>
        <w:ind w:left="360" w:hanging="360"/>
      </w:pPr>
      <w:r>
        <w:rPr>
          <w:rFonts w:ascii="Times New Roman" w:hAnsi="Times New Roman" w:eastAsia="Times New Roman"/>
          <w:b w:val="0"/>
          <w:i w:val="0"/>
          <w:sz w:val="20"/>
        </w:rPr>
        <w:t>[1] Kratzert, F.; Klotz, D.; Brenner, C.; Schulz, K.; Herrnegger, M. Rainfall–runoff prediction at multiple timescales with a single Long Short-Term Memory network. Hydrol. Earth Syst. Sci. 2018, 22, 6005–6022.</w:t>
      </w:r>
    </w:p>
    <w:p>
      <w:pPr>
        <w:spacing w:after="40"/>
        <w:ind w:left="360" w:hanging="360"/>
      </w:pPr>
      <w:r>
        <w:rPr>
          <w:rFonts w:ascii="Times New Roman" w:hAnsi="Times New Roman" w:eastAsia="Times New Roman"/>
          <w:b w:val="0"/>
          <w:i w:val="0"/>
          <w:sz w:val="20"/>
        </w:rPr>
        <w:t>[2] Nearing, G.S.; et al. What role does hydrological science play in the age of machine learning? Water Resour. Res. 2021, 57, e2020WR028091.</w:t>
      </w:r>
    </w:p>
    <w:p>
      <w:pPr>
        <w:spacing w:after="40"/>
        <w:ind w:left="360" w:hanging="360"/>
      </w:pPr>
      <w:r>
        <w:rPr>
          <w:rFonts w:ascii="Times New Roman" w:hAnsi="Times New Roman" w:eastAsia="Times New Roman"/>
          <w:b w:val="0"/>
          <w:i w:val="0"/>
          <w:sz w:val="20"/>
        </w:rPr>
        <w:t>[3] Frame, J.M.; et al. Deep learning rainfall–runoff predictions of extreme events. Hydrol. Earth Syst. Sci. 2022, 26, 3377–3392.</w:t>
      </w:r>
    </w:p>
    <w:p>
      <w:pPr>
        <w:spacing w:after="40"/>
        <w:ind w:left="360" w:hanging="360"/>
      </w:pPr>
      <w:r>
        <w:rPr>
          <w:rFonts w:ascii="Times New Roman" w:hAnsi="Times New Roman" w:eastAsia="Times New Roman"/>
          <w:b w:val="0"/>
          <w:i w:val="0"/>
          <w:sz w:val="20"/>
        </w:rPr>
        <w:t>[4] Morin, J.; et al. Linear routing and lagged upstream discharge as operational references for short-range flow forecasts. (Use the specific routing/regression baseline citation from the hydro-ml-paper methods when copy-editing.)</w:t>
      </w:r>
    </w:p>
    <w:p>
      <w:pPr>
        <w:spacing w:after="40"/>
        <w:ind w:left="360" w:hanging="360"/>
      </w:pPr>
      <w:r>
        <w:rPr>
          <w:rFonts w:ascii="Times New Roman" w:hAnsi="Times New Roman" w:eastAsia="Times New Roman"/>
          <w:b w:val="0"/>
          <w:i w:val="0"/>
          <w:sz w:val="20"/>
        </w:rPr>
        <w:t>[5] Wilks, D.S. Statistical Methods in the Atmospheric Sciences, 4th ed.; Elsevier: Amsterdam, The Netherlands, 2019.</w:t>
      </w:r>
    </w:p>
    <w:p>
      <w:pPr>
        <w:spacing w:after="40"/>
        <w:ind w:left="360" w:hanging="360"/>
      </w:pPr>
      <w:r>
        <w:rPr>
          <w:rFonts w:ascii="Times New Roman" w:hAnsi="Times New Roman" w:eastAsia="Times New Roman"/>
          <w:b w:val="0"/>
          <w:i w:val="0"/>
          <w:sz w:val="20"/>
        </w:rPr>
        <w:t>[6] Sharp, J.D.; et al. GOBAI-O2: temporally and spatially resolved fields of ocean interior dissolved oxygen over nearly two decades. Earth Syst. Sci. Data 2023, 15, 4481–4518.</w:t>
      </w:r>
    </w:p>
    <w:p>
      <w:pPr>
        <w:spacing w:after="40"/>
        <w:ind w:left="360" w:hanging="360"/>
      </w:pPr>
      <w:r>
        <w:rPr>
          <w:rFonts w:ascii="Times New Roman" w:hAnsi="Times New Roman" w:eastAsia="Times New Roman"/>
          <w:b w:val="0"/>
          <w:i w:val="0"/>
          <w:sz w:val="20"/>
        </w:rPr>
        <w:t>[7] Zheng, G.; Friedrichs, M.A.M.; et al. Hypoxia forecasting for Chesapeake Bay using artificial intelligence. Artif. Intell. Earth Syst. 2024, 3, e230054.</w:t>
      </w:r>
    </w:p>
    <w:p>
      <w:pPr>
        <w:spacing w:after="40"/>
        <w:ind w:left="360" w:hanging="360"/>
      </w:pPr>
      <w:r>
        <w:rPr>
          <w:rFonts w:ascii="Times New Roman" w:hAnsi="Times New Roman" w:eastAsia="Times New Roman"/>
          <w:b w:val="0"/>
          <w:i w:val="0"/>
          <w:sz w:val="20"/>
        </w:rPr>
        <w:t>[8] Lundberg, S.M.; Lee, S.-I. A unified approach to interpreting model predictions. In Advances in Neural Information Processing Systems; 2017.</w:t>
      </w:r>
    </w:p>
    <w:p>
      <w:pPr>
        <w:spacing w:after="40"/>
        <w:ind w:left="360" w:hanging="360"/>
      </w:pPr>
      <w:r>
        <w:rPr>
          <w:rFonts w:ascii="Times New Roman" w:hAnsi="Times New Roman" w:eastAsia="Times New Roman"/>
          <w:b w:val="0"/>
          <w:i w:val="0"/>
          <w:sz w:val="20"/>
        </w:rPr>
        <w:t>[9] Zhang, S. Mask-View protocol for operational missingness in aquatic monitoring networks. Companion repository: https://github.com/Az0998/maskview-aquatic-protocol (accessed 26 August 2026).</w:t>
      </w:r>
    </w:p>
    <w:p>
      <w:pPr>
        <w:spacing w:after="40"/>
        <w:ind w:left="360" w:hanging="360"/>
      </w:pPr>
      <w:r>
        <w:rPr>
          <w:rFonts w:ascii="Times New Roman" w:hAnsi="Times New Roman" w:eastAsia="Times New Roman"/>
          <w:b w:val="0"/>
          <w:i w:val="0"/>
          <w:sz w:val="20"/>
        </w:rPr>
        <w:t>[10] Breitburg, D.; et al. Declining oxygen in the global ocean and coastal waters. Science 2018, 359, eaam7240.</w:t>
      </w:r>
    </w:p>
    <w:p>
      <w:pPr>
        <w:spacing w:after="40"/>
        <w:ind w:left="360" w:hanging="360"/>
      </w:pPr>
      <w:r>
        <w:rPr>
          <w:rFonts w:ascii="Times New Roman" w:hAnsi="Times New Roman" w:eastAsia="Times New Roman"/>
          <w:b w:val="0"/>
          <w:i w:val="0"/>
          <w:sz w:val="20"/>
        </w:rPr>
        <w:t>[11] Paerl, H.W.; Huisman, J. Blooms like it hot. Science 2008, 320, 57–58.</w:t>
      </w:r>
    </w:p>
    <w:p>
      <w:pPr>
        <w:spacing w:after="40"/>
        <w:ind w:left="360" w:hanging="360"/>
      </w:pPr>
      <w:r>
        <w:rPr>
          <w:rFonts w:ascii="Times New Roman" w:hAnsi="Times New Roman" w:eastAsia="Times New Roman"/>
          <w:b w:val="0"/>
          <w:i w:val="0"/>
          <w:sz w:val="20"/>
        </w:rPr>
        <w:t>[12] Jolliffe, I.T.; Stephenson, D.B. Forecast Verification: A Practitioner’s Guide in Atmospheric Science, 2nd ed.; Wiley: Chichester, UK, 2012.</w:t>
      </w:r>
    </w:p>
    <w:p>
      <w:pPr>
        <w:spacing w:after="40"/>
        <w:ind w:left="360" w:hanging="360"/>
      </w:pPr>
      <w:r>
        <w:rPr>
          <w:rFonts w:ascii="Times New Roman" w:hAnsi="Times New Roman" w:eastAsia="Times New Roman"/>
          <w:b w:val="0"/>
          <w:i w:val="0"/>
          <w:sz w:val="20"/>
        </w:rPr>
        <w:t>[13] Abu-El-Haija, S.; et al. MixHop: Higher-Order Graph Convolutional Architectures via Sparsified Neighborhood Mixing. In ICML; 2019.</w:t>
      </w:r>
    </w:p>
    <w:p>
      <w:pPr>
        <w:spacing w:after="40"/>
        <w:ind w:left="360" w:hanging="360"/>
      </w:pPr>
      <w:r>
        <w:rPr>
          <w:rFonts w:ascii="Times New Roman" w:hAnsi="Times New Roman" w:eastAsia="Times New Roman"/>
          <w:b w:val="0"/>
          <w:i w:val="0"/>
          <w:sz w:val="20"/>
        </w:rPr>
        <w:t>[14] Vaswani, A.; et al. Attention is all you need. In Advances in Neural Information Processing Systems; 2017.</w:t>
      </w:r>
    </w:p>
    <w:p>
      <w:pPr>
        <w:spacing w:after="40"/>
        <w:ind w:left="360" w:hanging="360"/>
      </w:pPr>
      <w:r>
        <w:rPr>
          <w:rFonts w:ascii="Times New Roman" w:hAnsi="Times New Roman" w:eastAsia="Times New Roman"/>
          <w:b w:val="0"/>
          <w:i w:val="0"/>
          <w:sz w:val="20"/>
        </w:rPr>
        <w:t>[15] World Ocean Atlas 2023. NOAA National Centers for Environmental Information.</w:t>
      </w:r>
    </w:p>
    <w:p>
      <w:pPr>
        <w:spacing w:after="40"/>
        <w:ind w:left="360" w:hanging="360"/>
      </w:pPr>
      <w:r>
        <w:rPr>
          <w:rFonts w:ascii="Times New Roman" w:hAnsi="Times New Roman" w:eastAsia="Times New Roman"/>
          <w:b w:val="0"/>
          <w:i w:val="0"/>
          <w:sz w:val="20"/>
        </w:rPr>
        <w:t>[16] Huang, B.; et al. NOAA 1/4° Daily Optimum Interpolation Sea Surface Temperature (OISST).</w:t>
      </w:r>
    </w:p>
    <w:p>
      <w:pPr>
        <w:spacing w:after="40"/>
        <w:ind w:left="360" w:hanging="360"/>
      </w:pPr>
      <w:r>
        <w:rPr>
          <w:rFonts w:ascii="Times New Roman" w:hAnsi="Times New Roman" w:eastAsia="Times New Roman"/>
          <w:b w:val="0"/>
          <w:i w:val="0"/>
          <w:sz w:val="20"/>
        </w:rPr>
        <w:t>[17] Open-Meteo. Historical weather API, ERA5-backed. https://open-meteo.com (accessed 26 August 2026).</w:t>
      </w:r>
    </w:p>
    <w:p>
      <w:pPr>
        <w:spacing w:after="40"/>
        <w:ind w:left="360" w:hanging="360"/>
      </w:pPr>
      <w:r>
        <w:rPr>
          <w:rFonts w:ascii="Times New Roman" w:hAnsi="Times New Roman" w:eastAsia="Times New Roman"/>
          <w:b w:val="0"/>
          <w:i w:val="0"/>
          <w:sz w:val="20"/>
        </w:rPr>
        <w:t>[18] USGS. National Water Information System. https://waterdata.usgs.gov (accessed 26 August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