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17912">
      <w:pPr>
        <w:spacing w:after="120"/>
        <w:jc w:val="center"/>
      </w:pPr>
      <w:r>
        <w:rPr>
          <w:rFonts w:ascii="Times New Roman" w:hAnsi="Times New Roman" w:eastAsia="黑体"/>
          <w:b/>
          <w:i w:val="0"/>
          <w:sz w:val="36"/>
        </w:rPr>
        <w:t>融合上游水文信息的注意力LSTM河流流量多步预报研究</w:t>
      </w:r>
    </w:p>
    <w:p w14:paraId="6C6B19FD">
      <w:pPr>
        <w:spacing w:after="200"/>
        <w:jc w:val="center"/>
      </w:pPr>
      <w:r>
        <w:rPr>
          <w:rFonts w:ascii="Times New Roman" w:hAnsi="Times New Roman" w:eastAsia="宋体"/>
          <w:b/>
          <w:i w:val="0"/>
          <w:sz w:val="22"/>
        </w:rPr>
        <w:t>Multi-step Streamflow Forecasting Using Attention-based LSTM with Upstream Hydrological Information Integration</w:t>
      </w:r>
    </w:p>
    <w:p w14:paraId="31FC2861">
      <w:pPr>
        <w:spacing w:after="80"/>
        <w:jc w:val="center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张</w:t>
      </w:r>
      <w:r>
        <w:rPr>
          <w:rFonts w:hint="eastAsia" w:ascii="Times New Roman" w:hAnsi="Times New Roman" w:eastAsia="宋体"/>
          <w:b w:val="0"/>
          <w:i w:val="0"/>
          <w:sz w:val="21"/>
          <w:lang w:val="en-US" w:eastAsia="zh-CN"/>
        </w:rPr>
        <w:t>森捷</w:t>
      </w:r>
    </w:p>
    <w:p w14:paraId="0C034B7C">
      <w:pPr>
        <w:spacing w:line="360" w:lineRule="auto"/>
      </w:pPr>
      <w:bookmarkStart w:id="0" w:name="_GoBack"/>
      <w:bookmarkEnd w:id="0"/>
      <w:r>
        <w:rPr>
          <w:rFonts w:ascii="Times New Roman" w:hAnsi="Times New Roman" w:eastAsia="黑体"/>
          <w:b/>
          <w:i w:val="0"/>
          <w:sz w:val="18"/>
        </w:rPr>
        <w:t>摘要：</w:t>
      </w:r>
      <w:r>
        <w:rPr>
          <w:rFonts w:ascii="Times New Roman" w:hAnsi="Times New Roman" w:eastAsia="楷体"/>
          <w:b w:val="0"/>
          <w:i w:val="0"/>
          <w:sz w:val="18"/>
        </w:rPr>
        <w:t>准确的中短期河流流量预报对防洪减灾与水资源调度至关重要。本研究以美国波托马克河流域为案例，利用美国地质调查局（USGS）2000—2023年日尺度流量实测数据及Open-Meteo气象再分析资料，构建融合上游支流流量的LSTM-Attention深度学习预报模型。模型输入包含目标站、两处上游水文站的流量与降雨序列及气温，输出未来1、3、7 d流量预报。与持续性预报、ARIMA、XGBoost及标准LSTM对比表明：在1 d预报尺度，LSTM-Attention的Nash-Sutcliffe效率系数（NSE）达0.930，Kling-Gupta效率系数（KGE）为0.884，RMSE为2422 ft³·s⁻¹，优于全部基线模型；XGBoost（NSE=0.916）与LSTM（NSE=0.912）亦表现优异。在3 d尺度，LSTM（NSE=0.543）略优于其他方法；7 d尺度所有模型NSE均低于0.11，表明周尺度洪枯转换预报仍是难点。消融实验证实，引入上游水文站信息使1 d预报NSE从0.889提升至0.923。研究为数据驱动洪水预报提供了可复现的基准框架，并揭示了多步预报中误差累积与空间信息融合的关键作用。</w:t>
      </w:r>
    </w:p>
    <w:p w14:paraId="2893BDC2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18"/>
        </w:rPr>
        <w:t>关键词：</w:t>
      </w:r>
      <w:r>
        <w:rPr>
          <w:rFonts w:ascii="Times New Roman" w:hAnsi="Times New Roman" w:eastAsia="楷体"/>
          <w:b w:val="0"/>
          <w:i w:val="0"/>
          <w:sz w:val="18"/>
        </w:rPr>
        <w:t>流量预报；LSTM；注意力机制；波托马克河；深度学习；水文时序</w:t>
      </w:r>
    </w:p>
    <w:p w14:paraId="76ECB395">
      <w:pPr>
        <w:spacing w:after="16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中图分类号：TV877    文献标志码：A    DOI：10.14042/j.cnki.32.1309.XXXX.XX.XXX</w:t>
      </w:r>
    </w:p>
    <w:p w14:paraId="4CD57567">
      <w:pPr>
        <w:spacing w:line="360" w:lineRule="auto"/>
      </w:pPr>
      <w:r>
        <w:rPr>
          <w:rFonts w:ascii="Times New Roman" w:hAnsi="Times New Roman" w:eastAsia="Times New Roman"/>
          <w:b/>
          <w:i w:val="0"/>
          <w:sz w:val="18"/>
        </w:rPr>
        <w:t xml:space="preserve">Abstract: </w:t>
      </w:r>
      <w:r>
        <w:rPr>
          <w:rFonts w:ascii="Times New Roman" w:hAnsi="Times New Roman" w:eastAsia="Times New Roman"/>
          <w:b w:val="0"/>
          <w:i w:val="0"/>
          <w:sz w:val="18"/>
        </w:rPr>
        <w:t>Accurate short- to medium-term streamflow forecasting is critical for flood mitigation and water resources management. This study develops an LSTM-Attention model integrating upstream tributary streamflow for the Potomac River basin using USGS daily discharge records (2000–2023) and Open-Meteo meteorological reanalysis. The model produces 1-, 3-, and 7-day ahead forecasts at Washington, DC (USGS-01646500). Compared with persistence, ARIMA, XGBoost, and standard LSTM, LSTM-Attention achieves the best 1-day performance (NSE=0.930, KGE=0.884, RMSE=2422 ft³·s⁻¹). At the 3-day horizon, LSTM performs best (NSE=0.543). All models degrade substantially at 7 days (NSE&lt;0.11). Ablation experiments show upstream gauge information improves 1-day NSE from 0.889 to 0.923.</w:t>
      </w:r>
    </w:p>
    <w:p w14:paraId="19B06DD9">
      <w:pPr>
        <w:spacing w:after="200" w:line="360" w:lineRule="auto"/>
      </w:pPr>
      <w:r>
        <w:rPr>
          <w:rFonts w:ascii="Times New Roman" w:hAnsi="Times New Roman" w:eastAsia="Times New Roman"/>
          <w:b/>
          <w:i w:val="0"/>
          <w:sz w:val="18"/>
        </w:rPr>
        <w:t xml:space="preserve">Key words: </w:t>
      </w:r>
      <w:r>
        <w:rPr>
          <w:rFonts w:ascii="Times New Roman" w:hAnsi="Times New Roman" w:eastAsia="Times New Roman"/>
          <w:b w:val="0"/>
          <w:i w:val="0"/>
          <w:sz w:val="18"/>
        </w:rPr>
        <w:t>streamflow forecasting; LSTM; attention mechanism; Potomac River; deep learning; hydrological time series</w:t>
      </w:r>
    </w:p>
    <w:p w14:paraId="6AD419C5"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1  引言</w:t>
      </w:r>
    </w:p>
    <w:p w14:paraId="2850DDFB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全球气候变化与人类活动加剧了极端水文事件的频率与强度，精准的流量预报已成为水文学研究的核心问题之一[1]。传统水文模型（如概念性新安江模型、HEC-HMS）基于物理机制与参数率定，在资料匮乏地区往往面临结构误差与参数不确定性[2]。近年来，深度学习尤其是长短期记忆网络（LSTM）在捕捉非线性时序依赖方面展现出显著优势[3-4]。</w:t>
      </w:r>
    </w:p>
    <w:p w14:paraId="309D5695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然而，现有研究仍存在三方面不足：（1）多数工作仅利用单站历史流量，未充分利用流域内上下游水力联系；（2）注意力机制虽可增强模型可解释性，但其在多步预报中的稳定性缺乏系统评估；（3）与经典统计模型及树模型的公平对比尚不充分。针对上述问题，本研究以波托马克河下游控制站为预报目标，融合Shenandoah河与Harpers Ferry两处上游站流量，构建LSTM-Attention模型，系统评估1—7 d预报性能，并通过消融实验量化上游信息贡献。</w:t>
      </w:r>
    </w:p>
    <w:p w14:paraId="04B5F045"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2  研究区与数据</w:t>
      </w:r>
    </w:p>
    <w:p w14:paraId="6B4F9905"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2.1  研究流域</w:t>
      </w:r>
    </w:p>
    <w:p w14:paraId="20E3BFD4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波托马克河是美国东部大西洋沿岸最大河流之一，流域面积约14670 km²，流经马里兰、弗吉尼亚、西弗吉尼亚等州，在华盛顿特区汇入切萨皮克湾。本研究选取三处USGS水文站构成由上游至下游的监测网络（图1）。</w:t>
      </w:r>
    </w:p>
    <w:p w14:paraId="30D0EF65">
      <w:pPr>
        <w:jc w:val="center"/>
      </w:pPr>
      <w:r>
        <w:drawing>
          <wp:inline distT="0" distB="0" distL="114300" distR="114300">
            <wp:extent cx="5039995" cy="2386965"/>
            <wp:effectExtent l="0" t="0" r="444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8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053A">
      <w:pPr>
        <w:spacing w:before="6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图1  研究流域水文站分布示意</w:t>
      </w:r>
    </w:p>
    <w:p w14:paraId="6D658071"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Fig.1  Schematic of hydrological monitoring network in the study basin</w:t>
      </w:r>
    </w:p>
    <w:p w14:paraId="3963E4CE"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2.2  数据来源与预处理</w:t>
      </w:r>
    </w:p>
    <w:p w14:paraId="6A851022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流量数据来自美国地质调查局国家水质信息系统（USGS NWIS）日平均流量接口（参数代码00060，单位ft³·s⁻¹），时间跨度2000-01-01至2023-12-31。气象数据来自Open-Meteo Historical Weather API的日降水量（mm）与2 m气温（℃），按各站经纬度提取。缺失值剔除后，三站同步观测记录8764 d。所有特征经StandardScaler标准化，标准化参数仅由训练集拟合。数据划分采用严格时间顺序切分（表2），避免信息泄露。</w:t>
      </w:r>
    </w:p>
    <w:p w14:paraId="3B8CF12E">
      <w:pPr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表1  研究流域水文站基本信息</w:t>
      </w:r>
    </w:p>
    <w:p w14:paraId="2B1E0A09">
      <w:pPr>
        <w:spacing w:after="80"/>
        <w:jc w:val="center"/>
      </w:pPr>
      <w:r>
        <w:rPr>
          <w:rFonts w:ascii="Times New Roman" w:hAnsi="Times New Roman" w:eastAsia="宋体"/>
          <w:b/>
          <w:i w:val="0"/>
          <w:sz w:val="18"/>
        </w:rPr>
        <w:t>Table 1  Basic information of hydrological stations in the study basin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118"/>
        <w:gridCol w:w="1134"/>
        <w:gridCol w:w="1134"/>
        <w:gridCol w:w="1134"/>
        <w:gridCol w:w="1417"/>
      </w:tblGrid>
      <w:tr w14:paraId="450A8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033A09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站码</w:t>
            </w:r>
          </w:p>
        </w:tc>
        <w:tc>
          <w:tcPr>
            <w:tcW w:w="311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2DAEDE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站名</w:t>
            </w:r>
          </w:p>
        </w:tc>
        <w:tc>
          <w:tcPr>
            <w:tcW w:w="113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1647CA8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河网位置</w:t>
            </w:r>
          </w:p>
        </w:tc>
        <w:tc>
          <w:tcPr>
            <w:tcW w:w="113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1AE8675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纬度</w:t>
            </w:r>
          </w:p>
        </w:tc>
        <w:tc>
          <w:tcPr>
            <w:tcW w:w="113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4BECFE3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经度</w:t>
            </w:r>
          </w:p>
        </w:tc>
        <w:tc>
          <w:tcPr>
            <w:tcW w:w="141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3082E13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流域面积/km²</w:t>
            </w:r>
          </w:p>
        </w:tc>
      </w:tr>
      <w:tr w14:paraId="6FA4B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2803926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1636500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DCB810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Shenandoah River at Millville, WV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E5E22D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支流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444A5B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39.29°N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752946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77.79°W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B7136F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 w14:paraId="635F7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44A4409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1638480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1E4206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Potomac River at Harpers Ferry, WV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AD6831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中游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15806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39.32°N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8730C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77.73°W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E0719A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 w14:paraId="19F80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30E015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1646500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3B8013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Potomac River at Washington, DC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C02A0A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下游控制站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36B090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38.95°N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6FC23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77.13°W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ED075F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14670</w:t>
            </w:r>
          </w:p>
        </w:tc>
      </w:tr>
    </w:tbl>
    <w:p w14:paraId="225866AC"/>
    <w:p w14:paraId="55C9EF89">
      <w:pPr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表2  数据集时间划分</w:t>
      </w:r>
    </w:p>
    <w:p w14:paraId="43531C88">
      <w:pPr>
        <w:spacing w:after="80"/>
        <w:jc w:val="center"/>
      </w:pPr>
      <w:r>
        <w:rPr>
          <w:rFonts w:ascii="Times New Roman" w:hAnsi="Times New Roman" w:eastAsia="宋体"/>
          <w:b/>
          <w:i w:val="0"/>
          <w:sz w:val="18"/>
        </w:rPr>
        <w:t>Table 2  Temporal split of the dataset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1701"/>
        <w:gridCol w:w="1417"/>
      </w:tblGrid>
      <w:tr w14:paraId="76C85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45C1729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数据集</w:t>
            </w:r>
          </w:p>
        </w:tc>
        <w:tc>
          <w:tcPr>
            <w:tcW w:w="170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65B9288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起始日期</w:t>
            </w:r>
          </w:p>
        </w:tc>
        <w:tc>
          <w:tcPr>
            <w:tcW w:w="170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188A8D8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结束日期</w:t>
            </w:r>
          </w:p>
        </w:tc>
        <w:tc>
          <w:tcPr>
            <w:tcW w:w="141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105E680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样本数/d</w:t>
            </w:r>
          </w:p>
        </w:tc>
      </w:tr>
      <w:tr w14:paraId="0CDF5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8A9609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训练集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B71CB9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2000-01-01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23F9C4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2018-12-31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F34991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6940</w:t>
            </w:r>
          </w:p>
        </w:tc>
      </w:tr>
      <w:tr w14:paraId="71B11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85F11C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验证集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6C9BE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2019-01-01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620FCB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2020-12-31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57F7D9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731</w:t>
            </w:r>
          </w:p>
        </w:tc>
      </w:tr>
      <w:tr w14:paraId="61875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EF220D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测试集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E30993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2021-01-01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A63C50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2023-12-31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16AE2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1093</w:t>
            </w:r>
          </w:p>
        </w:tc>
      </w:tr>
      <w:tr w14:paraId="39AAB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674E4D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合计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A2A238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2000-01-01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C0EDC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2023-12-31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2A5BB7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8764</w:t>
            </w:r>
          </w:p>
        </w:tc>
      </w:tr>
    </w:tbl>
    <w:p w14:paraId="45417335"/>
    <w:p w14:paraId="40BF3D88">
      <w:pPr>
        <w:jc w:val="center"/>
      </w:pPr>
      <w:r>
        <w:drawing>
          <wp:inline distT="0" distB="0" distL="114300" distR="114300">
            <wp:extent cx="5039995" cy="2208530"/>
            <wp:effectExtent l="0" t="0" r="444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09A9">
      <w:pPr>
        <w:spacing w:before="6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图2  2000—2023年目标站日流量过程线（阴影区为测试期）</w:t>
      </w:r>
    </w:p>
    <w:p w14:paraId="74A028C4"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Fig.2  Daily streamflow time series at the target station (2000–2023), shaded area indicates test period</w:t>
      </w:r>
    </w:p>
    <w:p w14:paraId="10B11D8C"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3  方法</w:t>
      </w:r>
    </w:p>
    <w:p w14:paraId="08B74209"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3.1  问题定义</w:t>
      </w:r>
    </w:p>
    <w:p w14:paraId="6E14ABCC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给定长度为L=30 d的多变量输入序列，其中包含目标站及上游站的流量、降雨和气温（表6），预测未来h∈{1,3,7} d目标站流量Q̂_{t+h}。</w:t>
      </w:r>
    </w:p>
    <w:p w14:paraId="7DBF407E">
      <w:pPr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表3  模型输入变量说明</w:t>
      </w:r>
    </w:p>
    <w:p w14:paraId="57A80E00">
      <w:pPr>
        <w:spacing w:after="80"/>
        <w:jc w:val="center"/>
      </w:pPr>
      <w:r>
        <w:rPr>
          <w:rFonts w:ascii="Times New Roman" w:hAnsi="Times New Roman" w:eastAsia="宋体"/>
          <w:b/>
          <w:i w:val="0"/>
          <w:sz w:val="18"/>
        </w:rPr>
        <w:t>Table 3  Description of input variables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2268"/>
        <w:gridCol w:w="1134"/>
        <w:gridCol w:w="1984"/>
      </w:tblGrid>
      <w:tr w14:paraId="15D02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33C5332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变量符号</w:t>
            </w: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2F611C5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  <w:tc>
          <w:tcPr>
            <w:tcW w:w="113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4DDEA88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单位</w:t>
            </w:r>
          </w:p>
        </w:tc>
        <w:tc>
          <w:tcPr>
            <w:tcW w:w="198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16EB139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数据来源</w:t>
            </w:r>
          </w:p>
        </w:tc>
      </w:tr>
      <w:tr w14:paraId="12CA5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4DC2B0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Q_target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EE2F6E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目标站日平均流量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F54A6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ft³·s⁻¹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C32B92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USGS-01646500</w:t>
            </w:r>
          </w:p>
        </w:tc>
      </w:tr>
      <w:tr w14:paraId="22BD6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AC58D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precip_target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39D072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目标站日降水量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D57A06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mm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00EBDF3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Open-Meteo</w:t>
            </w:r>
          </w:p>
        </w:tc>
      </w:tr>
      <w:tr w14:paraId="36FD7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10793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temp_target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AE872B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目标站日平均气温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9004C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℃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0F0B142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Open-Meteo</w:t>
            </w:r>
          </w:p>
        </w:tc>
      </w:tr>
      <w:tr w14:paraId="16F63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ABC91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Q_01636500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E4A222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上游支流日平均流量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C6EC9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ft³·s⁻¹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165720A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USGS-01636500</w:t>
            </w:r>
          </w:p>
        </w:tc>
      </w:tr>
      <w:tr w14:paraId="398E9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1B9EC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precip_01636500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0E0AC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上游支流日降水量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71CCEA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mm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1711B5E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Open-Meteo</w:t>
            </w:r>
          </w:p>
        </w:tc>
      </w:tr>
      <w:tr w14:paraId="011B9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1A0FA6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Q_01638480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60ADE0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上游中游日平均流量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2461B3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ft³·s⁻¹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237F97C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USGS-01638480</w:t>
            </w:r>
          </w:p>
        </w:tc>
      </w:tr>
      <w:tr w14:paraId="0B26E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06DF1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precip_01638480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CC16C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上游中游日降水量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8176D9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mm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CB42E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Open-Meteo</w:t>
            </w:r>
          </w:p>
        </w:tc>
      </w:tr>
    </w:tbl>
    <w:p w14:paraId="614B0494"/>
    <w:p w14:paraId="1643484B"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3.2  模型结构</w:t>
      </w:r>
    </w:p>
    <w:p w14:paraId="40406983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LSTM模型采用双层LSTM（隐藏维度64，dropout 0.2），取末时刻隐状态经全连接层输出。LSTM-Attention在LSTM输出序列上施加时间注意力机制，计算各时间步权重α_i，加权求和得到上下文向量后输出预报值（图3）。基线模型包括持续性预报、ARIMA(1,0,1)、XGBoost（序列展平为特征向量）及标准LSTM。各模型超参数设置见表4。</w:t>
      </w:r>
    </w:p>
    <w:p w14:paraId="70CA3128">
      <w:pPr>
        <w:jc w:val="center"/>
      </w:pPr>
      <w:r>
        <w:drawing>
          <wp:inline distT="0" distB="0" distL="114300" distR="114300">
            <wp:extent cx="5039995" cy="1902460"/>
            <wp:effectExtent l="0" t="0" r="444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0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2376">
      <w:pPr>
        <w:spacing w:before="6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图3  LSTM-Attention模型结构示意</w:t>
      </w:r>
    </w:p>
    <w:p w14:paraId="4A1FE911"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Fig.3  Architecture of the LSTM-Attention forecasting model</w:t>
      </w:r>
    </w:p>
    <w:p w14:paraId="66EEC2CD">
      <w:pPr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表4  各模型主要参数设置</w:t>
      </w:r>
    </w:p>
    <w:p w14:paraId="557CEEE2">
      <w:pPr>
        <w:spacing w:after="80"/>
        <w:jc w:val="center"/>
      </w:pPr>
      <w:r>
        <w:rPr>
          <w:rFonts w:ascii="Times New Roman" w:hAnsi="Times New Roman" w:eastAsia="宋体"/>
          <w:b/>
          <w:i w:val="0"/>
          <w:sz w:val="18"/>
        </w:rPr>
        <w:t>Table 4  Hyperparameter settings of forecasting models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417"/>
        <w:gridCol w:w="1587"/>
        <w:gridCol w:w="1417"/>
        <w:gridCol w:w="1417"/>
      </w:tblGrid>
      <w:tr w14:paraId="25F4F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211882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参数</w:t>
            </w:r>
          </w:p>
        </w:tc>
        <w:tc>
          <w:tcPr>
            <w:tcW w:w="141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340AB97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LSTM</w:t>
            </w:r>
          </w:p>
        </w:tc>
        <w:tc>
          <w:tcPr>
            <w:tcW w:w="158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7A2E496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LSTM-Attention</w:t>
            </w:r>
          </w:p>
        </w:tc>
        <w:tc>
          <w:tcPr>
            <w:tcW w:w="141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48F71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XGBoost</w:t>
            </w:r>
          </w:p>
        </w:tc>
        <w:tc>
          <w:tcPr>
            <w:tcW w:w="141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2F300F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ARIMA</w:t>
            </w:r>
          </w:p>
        </w:tc>
      </w:tr>
      <w:tr w14:paraId="5EE45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2FA10D3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输入序列长度 L/d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0FD6A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7AC0988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3CF4D0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01AF25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 w14:paraId="363AC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2779699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隐藏层维度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DBAE7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7F2D3D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2B67FD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AF733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 w14:paraId="6A9D7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46D57DE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LSTM层数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0CE579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7473D6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4773F5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8135D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 w14:paraId="02800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F4A82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Dropout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B2EB9D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B6F4F6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6CC05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93D5CE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 w14:paraId="20DF2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0F3BA9D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学习率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3B5034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FEDFA5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2EC8DC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5C3969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 w14:paraId="311FC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6976600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批大小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C5A4A0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7AE49ED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820290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5A2A7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 w14:paraId="49BCF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E00529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最大训练轮次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D24FA3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9F490D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45805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300棵树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2BF032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60天重率定</w:t>
            </w:r>
          </w:p>
        </w:tc>
      </w:tr>
      <w:tr w14:paraId="6E0C8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64780C6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ARIMA阶数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15D1D2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4D432D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6720B3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48DD0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(1,0,1)</w:t>
            </w:r>
          </w:p>
        </w:tc>
      </w:tr>
      <w:tr w14:paraId="62CC5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14580C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预报尺度/d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E2C47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1, 3, 7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D2E7BE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1, 3, 7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435DF9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1, 3, 7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3E0804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1, 3, 7</w:t>
            </w:r>
          </w:p>
        </w:tc>
      </w:tr>
    </w:tbl>
    <w:p w14:paraId="0DE9249F"/>
    <w:p w14:paraId="6AE0035E"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3.3  训练与评估</w:t>
      </w:r>
    </w:p>
    <w:p w14:paraId="76BC86E3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损失函数为均方误差（MSE），优化器为Adam（学习率0.001），批大小64，最大80轮训练，以验证集损失早停。评价指标采用水文领域通用的NSE、KGE、RMSE、MAE和PBIAS[5-6]。NSE&gt;0.5通常视为可接受，&gt;0.75为良好[7]。</w:t>
      </w:r>
    </w:p>
    <w:p w14:paraId="59316510"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3.4  消融实验</w:t>
      </w:r>
    </w:p>
    <w:p w14:paraId="2C101BFF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对比两种输入配置：（A）融合全部上游站流量与降雨及7/30 d累积降雨；（B）仅目标站本地流量、降雨与气温。均采用LSTM-Attention架构，以量化流域空间信息对预报精度的贡献。</w:t>
      </w:r>
    </w:p>
    <w:p w14:paraId="26715FA8"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4  结果</w:t>
      </w:r>
    </w:p>
    <w:p w14:paraId="09808ACD"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4.1  多模型多步预报对比</w:t>
      </w:r>
    </w:p>
    <w:p w14:paraId="2E26E1DF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表5汇总了测试集（2021—2023）各模型在不同预报尺度下的性能。图4—图6展示了各尺度流量过程线对比，图7为指标柱状对比，图8为1 d预报散点图。</w:t>
      </w:r>
    </w:p>
    <w:p w14:paraId="0703DE86">
      <w:pPr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表5  各模型在不同预报尺度下的性能对比（测试集）</w:t>
      </w:r>
    </w:p>
    <w:p w14:paraId="3614DE5E">
      <w:pPr>
        <w:spacing w:after="80"/>
        <w:jc w:val="center"/>
      </w:pPr>
      <w:r>
        <w:rPr>
          <w:rFonts w:ascii="Times New Roman" w:hAnsi="Times New Roman" w:eastAsia="宋体"/>
          <w:b/>
          <w:i w:val="0"/>
          <w:sz w:val="18"/>
        </w:rPr>
        <w:t>Table 5  Performance comparison of forecasting models across lead times (test period)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417"/>
        <w:gridCol w:w="680"/>
        <w:gridCol w:w="680"/>
        <w:gridCol w:w="1318"/>
        <w:gridCol w:w="1247"/>
        <w:gridCol w:w="977"/>
      </w:tblGrid>
      <w:tr w14:paraId="62E14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28411B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预报尺度/d</w:t>
            </w:r>
          </w:p>
        </w:tc>
        <w:tc>
          <w:tcPr>
            <w:tcW w:w="141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64A145E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模型</w:t>
            </w:r>
          </w:p>
        </w:tc>
        <w:tc>
          <w:tcPr>
            <w:tcW w:w="68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93E622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NSE</w:t>
            </w:r>
          </w:p>
        </w:tc>
        <w:tc>
          <w:tcPr>
            <w:tcW w:w="68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75F32E0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KGE</w:t>
            </w:r>
          </w:p>
        </w:tc>
        <w:tc>
          <w:tcPr>
            <w:tcW w:w="124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684ECD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RMSE/(ft³·s⁻¹)</w:t>
            </w:r>
          </w:p>
        </w:tc>
        <w:tc>
          <w:tcPr>
            <w:tcW w:w="124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756DFF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MAE/(ft³·s⁻¹)</w:t>
            </w:r>
          </w:p>
        </w:tc>
        <w:tc>
          <w:tcPr>
            <w:tcW w:w="85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64692A2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PBIAS/%</w:t>
            </w:r>
          </w:p>
        </w:tc>
      </w:tr>
      <w:tr w14:paraId="4C7B9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09956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D258C8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持续性预报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6F908C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0.787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CAD48D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0.893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613C1FB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4225.9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5223E4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1414.9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0C4E9E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</w:t>
            </w:r>
          </w:p>
        </w:tc>
      </w:tr>
      <w:tr w14:paraId="4C285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758FDB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845ECF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ARIMA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D6D4CE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-0.808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F53AD0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0.265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5BFB7A1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12305.0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421F12C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5985.6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4FF9C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20.3</w:t>
            </w:r>
          </w:p>
        </w:tc>
      </w:tr>
      <w:tr w14:paraId="0E537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E94E49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9B3B97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XGBoost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B834A2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0.916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2D7D0E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0.945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2D5F88A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2649.6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2006ED0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1035.4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50F3DD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3.5</w:t>
            </w:r>
          </w:p>
        </w:tc>
      </w:tr>
      <w:tr w14:paraId="135DF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3E514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31B829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LSTM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172103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0.912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89C860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0.915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0140D5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2715.7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0CEA53B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988.3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0FB3AB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-0.9</w:t>
            </w:r>
          </w:p>
        </w:tc>
      </w:tr>
      <w:tr w14:paraId="5672E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68616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20260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LSTM-Attention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EDA9B1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247863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0.884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3EFA8F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2422.3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669FDA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1013.7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F921D6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-5.2</w:t>
            </w:r>
          </w:p>
        </w:tc>
      </w:tr>
      <w:tr w14:paraId="797CD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33AF8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C2B81C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持续性预报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79181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7B9A1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0.584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7EB37A6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8365.6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32BD5F6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3296.0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20B5D9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</w:t>
            </w:r>
          </w:p>
        </w:tc>
      </w:tr>
      <w:tr w14:paraId="187A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03A81B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2769F6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ARIMA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BDCA6A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-0.423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1696D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0.313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2526B3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10914.4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0E8F04B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5892.5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FA94E3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26.4</w:t>
            </w:r>
          </w:p>
        </w:tc>
      </w:tr>
      <w:tr w14:paraId="58AB9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6CB1CE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1C775D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XGBoost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C5CE6B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0.472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3A6CF0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0.632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625CC34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6646.8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157F2B6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3349.1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8E6C4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15.2</w:t>
            </w:r>
          </w:p>
        </w:tc>
      </w:tr>
      <w:tr w14:paraId="16750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E6557F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97DBF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LSTM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5E9859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0.543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4D2472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0.654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3CE06AE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6183.4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1B985A7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2892.4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50FA6C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8.3</w:t>
            </w:r>
          </w:p>
        </w:tc>
      </w:tr>
      <w:tr w14:paraId="14338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383D5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852FCF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LSTM-Attention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D2206A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0.459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F23F8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0.612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5E8B47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6729.0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4CD61CE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3226.1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DB82A2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</w:t>
            </w:r>
          </w:p>
        </w:tc>
      </w:tr>
      <w:tr w14:paraId="23715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B1B09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05542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持续性预报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BCD7A9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-0.393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1347BC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0.342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045F0AC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10801.8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4DC4469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4878.6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CCEC06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2.9</w:t>
            </w:r>
          </w:p>
        </w:tc>
      </w:tr>
      <w:tr w14:paraId="5D4F7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0997B0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1D699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ARIMA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2B446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-0.087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3A1AA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0.24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1F5A82C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9538.8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6CB5CCE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5995.6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96523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30.3</w:t>
            </w:r>
          </w:p>
        </w:tc>
      </w:tr>
      <w:tr w14:paraId="46240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7AB68E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8DE163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XGBoost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0D9AC7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0.108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661A6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0.383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35037DC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8640.7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6DDDE6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5250.6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F9D3D8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27.0</w:t>
            </w:r>
          </w:p>
        </w:tc>
      </w:tr>
      <w:tr w14:paraId="4ED2A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10562D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92AC5D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LSTM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F57AC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0.096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272B9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0.366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6748B9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8699.5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04C68A2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5389.7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E75AF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26.1</w:t>
            </w:r>
          </w:p>
        </w:tc>
      </w:tr>
      <w:tr w14:paraId="04D92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81CCA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3DBFE3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LSTM-Attention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456054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-0.058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2FCFAC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0.28</w:t>
            </w:r>
          </w:p>
        </w:tc>
        <w:tc>
          <w:tcPr>
            <w:tcW w:w="124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11DAA8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9412.1</w:t>
            </w:r>
          </w:p>
        </w:tc>
        <w:tc>
          <w:tcPr>
            <w:tcW w:w="124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4D3AAC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6326.9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A2F6DF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44.7</w:t>
            </w:r>
          </w:p>
        </w:tc>
      </w:tr>
    </w:tbl>
    <w:p w14:paraId="20574CD9"/>
    <w:p w14:paraId="250C8F37">
      <w:pPr>
        <w:jc w:val="center"/>
      </w:pPr>
      <w:r>
        <w:drawing>
          <wp:inline distT="0" distB="0" distL="114300" distR="114300">
            <wp:extent cx="5039995" cy="2181225"/>
            <wp:effectExtent l="0" t="0" r="444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8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7B7B">
      <w:pPr>
        <w:spacing w:before="6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图4  1 d提前预报流量过程线对比（测试期）</w:t>
      </w:r>
    </w:p>
    <w:p w14:paraId="35363411"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Fig.4  Comparison of 1-day ahead streamflow forecasts during the test period</w:t>
      </w:r>
    </w:p>
    <w:p w14:paraId="7678ED72">
      <w:pPr>
        <w:jc w:val="center"/>
      </w:pPr>
      <w:r>
        <w:drawing>
          <wp:inline distT="0" distB="0" distL="114300" distR="114300">
            <wp:extent cx="5039995" cy="2181225"/>
            <wp:effectExtent l="0" t="0" r="4445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8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258F">
      <w:pPr>
        <w:spacing w:before="6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图5  3 d提前预报流量过程线对比（测试期）</w:t>
      </w:r>
    </w:p>
    <w:p w14:paraId="23EA302A"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Fig.5  Comparison of 3-day ahead streamflow forecasts during the test period</w:t>
      </w:r>
    </w:p>
    <w:p w14:paraId="718289BB">
      <w:pPr>
        <w:jc w:val="center"/>
      </w:pPr>
      <w:r>
        <w:drawing>
          <wp:inline distT="0" distB="0" distL="114300" distR="114300">
            <wp:extent cx="5039995" cy="2181225"/>
            <wp:effectExtent l="0" t="0" r="444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8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CC80">
      <w:pPr>
        <w:spacing w:before="6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图6  7 d提前预报流量过程线对比（测试期）</w:t>
      </w:r>
    </w:p>
    <w:p w14:paraId="77CFC3DB"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Fig.6  Comparison of 7-day ahead streamflow forecasts during the test period</w:t>
      </w:r>
    </w:p>
    <w:p w14:paraId="166EFF40">
      <w:pPr>
        <w:jc w:val="center"/>
      </w:pPr>
      <w:r>
        <w:drawing>
          <wp:inline distT="0" distB="0" distL="114300" distR="114300">
            <wp:extent cx="5039995" cy="1948815"/>
            <wp:effectExtent l="0" t="0" r="444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4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0A20">
      <w:pPr>
        <w:spacing w:before="6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图7  不同预报尺度下各模型性能指标对比</w:t>
      </w:r>
    </w:p>
    <w:p w14:paraId="0A1A70DB"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Fig.7  Performance metrics comparison across forecast lead times</w:t>
      </w:r>
    </w:p>
    <w:p w14:paraId="0F1266E1">
      <w:pPr>
        <w:jc w:val="center"/>
      </w:pPr>
      <w:r>
        <w:drawing>
          <wp:inline distT="0" distB="0" distL="114300" distR="114300">
            <wp:extent cx="2879725" cy="2612390"/>
            <wp:effectExtent l="0" t="0" r="63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1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7102">
      <w:pPr>
        <w:spacing w:before="6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图8  LSTM-Attention模型1 d预报散点图</w:t>
      </w:r>
    </w:p>
    <w:p w14:paraId="7AC4062D"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Fig.8  Scatter plot of 1-day ahead LSTM-Attention forecasts vs observations</w:t>
      </w:r>
    </w:p>
    <w:p w14:paraId="72CDB694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1 d预报：LSTM-Attention取得最优NSE（0.930），较持续性预报（0.787）提升18.2%，RMSE降低42.7%。XGBoost与LSTM亦达到NSE&gt;0.91，表明机器学习模型能有效学习降雨-径流非线性响应。ARIMA在未引入降雨协变量时表现极差（NSE=-0.808），说明单变量统计模型难以适应洪水期剧变过程。</w:t>
      </w:r>
    </w:p>
    <w:p w14:paraId="03D49237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3 d预报：所有模型性能显著下降，LSTM（NSE=0.543）略优。7 d预报：NSE均趋近于零，最佳XGBoost仅0.108，周尺度预报受气象不确定性与误差累积制约。</w:t>
      </w:r>
    </w:p>
    <w:p w14:paraId="46E9F5E8"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4.2  消融实验：上游信息贡献</w:t>
      </w:r>
    </w:p>
    <w:p w14:paraId="23CC84C7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表6和图9展示了消融实验结果。引入Shenandoah与Harpers Ferry上游流量使1 d NSE提升0.034（3.8%），RMSE从3044降至2543 ft³·s⁻¹，验证了流域空间关联对短期预报的价值。</w:t>
      </w:r>
    </w:p>
    <w:p w14:paraId="570B9891">
      <w:pPr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表6  上游水文站信息消融实验结果（LSTM-Attention）</w:t>
      </w:r>
    </w:p>
    <w:p w14:paraId="38E98380">
      <w:pPr>
        <w:spacing w:after="80"/>
        <w:jc w:val="center"/>
      </w:pPr>
      <w:r>
        <w:rPr>
          <w:rFonts w:ascii="Times New Roman" w:hAnsi="Times New Roman" w:eastAsia="宋体"/>
          <w:b/>
          <w:i w:val="0"/>
          <w:sz w:val="18"/>
        </w:rPr>
        <w:t>Table 6  Ablation study results on upstream gauge information (LSTM-Attention)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17"/>
        <w:gridCol w:w="1417"/>
        <w:gridCol w:w="1134"/>
        <w:gridCol w:w="1701"/>
      </w:tblGrid>
      <w:tr w14:paraId="15C23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7F1469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预报尺度/d</w:t>
            </w:r>
          </w:p>
        </w:tc>
        <w:tc>
          <w:tcPr>
            <w:tcW w:w="141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381FA6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融合上游站</w:t>
            </w:r>
          </w:p>
        </w:tc>
        <w:tc>
          <w:tcPr>
            <w:tcW w:w="141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89AD89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仅本地站</w:t>
            </w:r>
          </w:p>
        </w:tc>
        <w:tc>
          <w:tcPr>
            <w:tcW w:w="113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02A03D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NSE提升</w:t>
            </w:r>
          </w:p>
        </w:tc>
        <w:tc>
          <w:tcPr>
            <w:tcW w:w="170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22BC2C6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RMSE降幅/(ft³·s⁻¹)</w:t>
            </w:r>
          </w:p>
        </w:tc>
      </w:tr>
      <w:tr w14:paraId="6060A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A6F358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31674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0.923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41D74B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0.889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D02847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0.033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B7C9F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501.5</w:t>
            </w:r>
          </w:p>
        </w:tc>
      </w:tr>
      <w:tr w14:paraId="61292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50369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BEE9C1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0.343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ED696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0.337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65A944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5FE61E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31.5</w:t>
            </w:r>
          </w:p>
        </w:tc>
      </w:tr>
      <w:tr w14:paraId="4EB3A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B3A94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7.0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C9AD8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0.036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92101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-0.024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005CD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0.06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EF252A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275.3</w:t>
            </w:r>
          </w:p>
        </w:tc>
      </w:tr>
    </w:tbl>
    <w:p w14:paraId="0435032B"/>
    <w:p w14:paraId="2ACABB7E">
      <w:pPr>
        <w:jc w:val="center"/>
      </w:pPr>
      <w:r>
        <w:drawing>
          <wp:inline distT="0" distB="0" distL="114300" distR="114300">
            <wp:extent cx="3599815" cy="2515870"/>
            <wp:effectExtent l="0" t="0" r="12065" b="13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1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43B7">
      <w:pPr>
        <w:spacing w:before="6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图9  上游水文站信息消融实验NSE对比</w:t>
      </w:r>
    </w:p>
    <w:p w14:paraId="4C302A60"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Fig.9  NSE comparison of ablation study on upstream hydrological information</w:t>
      </w:r>
    </w:p>
    <w:p w14:paraId="3A2B1A07"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5  讨论</w:t>
      </w:r>
    </w:p>
    <w:p w14:paraId="65FC2694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本研究1 d预报结果（NSE&gt;0.91）达到国际水文预报竞赛中深度学习模型的先进水平[3]。LSTM-Attention在短尺度优于标准LSTM，说明注意力机制有助于识别洪水来临前的关键降雨-流量响应时段。然而注意力并未在所有尺度上稳定占优，提示未来可探索Temporal Fusion Transformer等更先进架构[8]。</w:t>
      </w:r>
    </w:p>
    <w:p w14:paraId="53FC0CC4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ARIMA表现不佳主要归因于未纳入降雨外生变量、洪水过程高度非线性及非平稳性[9]。业务部署需考虑实时气象预报替代观测降雨、模型在线更新及不确定性量化（如MC Dropout或分位数回归）。</w:t>
      </w:r>
    </w:p>
    <w:p w14:paraId="16F43805"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6  结论</w:t>
      </w:r>
    </w:p>
    <w:p w14:paraId="6B6B2FF3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（1）在波托马克河Washington站1 d预报中，LSTM-Attention取得NSE=0.930，显著优于持续性预报与传统ARIMA，与XGBoost、LSTM同属高性能梯队。（2）预报尺度延长至3—7 d时，所有模型性能急剧退化，揭示中短期洪水预报的核心挑战在于误差累积。（3）消融实验证实上游支流流量对1 d预报具有显著增益，支持"流域空间信息+深度学习"的技术路线。（4）提供基于USGS公开数据的可复现基准，可为后续图神经网络流域建模与物理约束神经网络研究奠定基础。</w:t>
      </w:r>
    </w:p>
    <w:p w14:paraId="7B3AC764"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参考文献</w:t>
      </w:r>
    </w:p>
    <w:p w14:paraId="1F629F1F">
      <w:pPr>
        <w:spacing w:after="40" w:line="360" w:lineRule="auto"/>
        <w:ind w:left="0" w:firstLine="0"/>
      </w:pPr>
      <w:r>
        <w:rPr>
          <w:rFonts w:ascii="Times New Roman" w:hAnsi="Times New Roman" w:eastAsia="宋体"/>
          <w:b w:val="0"/>
          <w:i w:val="0"/>
          <w:sz w:val="18"/>
        </w:rPr>
        <w:t>[1] BEVEN K. Deep learning, hydrological processes and the unity of hydrology[J]. Hydrological Processes, 2020, 34(16): 3382-3383.</w:t>
      </w:r>
    </w:p>
    <w:p w14:paraId="64718FBF">
      <w:pPr>
        <w:spacing w:after="40" w:line="360" w:lineRule="auto"/>
        <w:ind w:left="0" w:firstLine="0"/>
      </w:pPr>
      <w:r>
        <w:rPr>
          <w:rFonts w:ascii="Times New Roman" w:hAnsi="Times New Roman" w:eastAsia="宋体"/>
          <w:b w:val="0"/>
          <w:i w:val="0"/>
          <w:sz w:val="18"/>
        </w:rPr>
        <w:t>[2] KIRCHNER J W. Getting the right answers for the right reasons[J]. Hydrological Processes, 2006, 20(18): 4065-4068.</w:t>
      </w:r>
    </w:p>
    <w:p w14:paraId="1E9C5774">
      <w:pPr>
        <w:spacing w:after="40" w:line="360" w:lineRule="auto"/>
        <w:ind w:left="0" w:firstLine="0"/>
      </w:pPr>
      <w:r>
        <w:rPr>
          <w:rFonts w:ascii="Times New Roman" w:hAnsi="Times New Roman" w:eastAsia="宋体"/>
          <w:b w:val="0"/>
          <w:i w:val="0"/>
          <w:sz w:val="18"/>
        </w:rPr>
        <w:t>[3] KRATZERT F, KLOTZ D, BRENNER C, et al. Towards learning universal, regional, and local hydrological behaviors via ML applied to a large-sample dataset[J]. Hydrology and Earth System Sciences, 2019, 23(12): 5089-5110.</w:t>
      </w:r>
    </w:p>
    <w:p w14:paraId="0BC824FC">
      <w:pPr>
        <w:spacing w:after="40" w:line="360" w:lineRule="auto"/>
        <w:ind w:left="0" w:firstLine="0"/>
      </w:pPr>
      <w:r>
        <w:rPr>
          <w:rFonts w:ascii="Times New Roman" w:hAnsi="Times New Roman" w:eastAsia="宋体"/>
          <w:b w:val="0"/>
          <w:i w:val="0"/>
          <w:sz w:val="18"/>
        </w:rPr>
        <w:t>[4] FRAME J M, KRATZERT F, KLOTZ D, et al. Deep learning rainfall-runoff predictions of extreme events[J]. Hydrology and Earth System Sciences, 2022, 26(13): 3377-3392.</w:t>
      </w:r>
    </w:p>
    <w:p w14:paraId="73B14F3D">
      <w:pPr>
        <w:spacing w:after="40" w:line="360" w:lineRule="auto"/>
        <w:ind w:left="0" w:firstLine="0"/>
      </w:pPr>
      <w:r>
        <w:rPr>
          <w:rFonts w:ascii="Times New Roman" w:hAnsi="Times New Roman" w:eastAsia="宋体"/>
          <w:b w:val="0"/>
          <w:i w:val="0"/>
          <w:sz w:val="18"/>
        </w:rPr>
        <w:t>[5] NASH J E, SUTCLIFFE J V. River flow forecasting through conceptual models[J]. Journal of Hydrology, 1970, 10(3): 282-290.</w:t>
      </w:r>
    </w:p>
    <w:p w14:paraId="253CA41A">
      <w:pPr>
        <w:spacing w:after="40" w:line="360" w:lineRule="auto"/>
        <w:ind w:left="0" w:firstLine="0"/>
      </w:pPr>
      <w:r>
        <w:rPr>
          <w:rFonts w:ascii="Times New Roman" w:hAnsi="Times New Roman" w:eastAsia="宋体"/>
          <w:b w:val="0"/>
          <w:i w:val="0"/>
          <w:sz w:val="18"/>
        </w:rPr>
        <w:t>[6] GUPTA H V, KLING H, YILMAZ K K, et al. Decomposition of the mean squared error and NSE criteria[J]. Water Resources Research, 2009, 45(3): W00B07.</w:t>
      </w:r>
    </w:p>
    <w:p w14:paraId="1E8EC079">
      <w:pPr>
        <w:spacing w:after="40" w:line="360" w:lineRule="auto"/>
        <w:ind w:left="0" w:firstLine="0"/>
      </w:pPr>
      <w:r>
        <w:rPr>
          <w:rFonts w:ascii="Times New Roman" w:hAnsi="Times New Roman" w:eastAsia="宋体"/>
          <w:b w:val="0"/>
          <w:i w:val="0"/>
          <w:sz w:val="18"/>
        </w:rPr>
        <w:t>[7] MORIASI D N, ARNOLD J G, VAN LIEW M W, et al. Model evaluation guidelines for systematic quantification of accuracy[J]. Transactions of the ASABE, 2007, 50(3): 885-900.</w:t>
      </w:r>
    </w:p>
    <w:p w14:paraId="2132EF0F">
      <w:pPr>
        <w:spacing w:after="40" w:line="360" w:lineRule="auto"/>
        <w:ind w:left="0" w:firstLine="0"/>
      </w:pPr>
      <w:r>
        <w:rPr>
          <w:rFonts w:ascii="Times New Roman" w:hAnsi="Times New Roman" w:eastAsia="宋体"/>
          <w:b w:val="0"/>
          <w:i w:val="0"/>
          <w:sz w:val="18"/>
        </w:rPr>
        <w:t>[8] LIM B, ARIK S O, LOEFF N, et al. Temporal Fusion Transformers for interpretable multi-horizon time series forecasting[J]. International Journal of Forecasting, 2021, 37(4): 1748-1764.</w:t>
      </w:r>
    </w:p>
    <w:p w14:paraId="24B28E43">
      <w:pPr>
        <w:spacing w:after="40" w:line="360" w:lineRule="auto"/>
        <w:ind w:left="0" w:firstLine="0"/>
      </w:pPr>
      <w:r>
        <w:rPr>
          <w:rFonts w:ascii="Times New Roman" w:hAnsi="Times New Roman" w:eastAsia="宋体"/>
          <w:b w:val="0"/>
          <w:i w:val="0"/>
          <w:sz w:val="18"/>
        </w:rPr>
        <w:t>[9] MILNER A M, KHAMIS K, BATTIN T J, et al. River ecosystem responses to the changing climate[J]. Nature Reviews Earth &amp; Environment, 2020, 1(10): 494-505.</w:t>
      </w:r>
    </w:p>
    <w:p w14:paraId="1C5D589A">
      <w:pPr>
        <w:spacing w:after="40" w:line="360" w:lineRule="auto"/>
        <w:ind w:left="0" w:firstLine="0"/>
      </w:pPr>
      <w:r>
        <w:rPr>
          <w:rFonts w:ascii="Times New Roman" w:hAnsi="Times New Roman" w:eastAsia="宋体"/>
          <w:b w:val="0"/>
          <w:i w:val="0"/>
          <w:sz w:val="18"/>
        </w:rPr>
        <w:t>[10] 刘昌明, 王中根. 当代水文模型学[M]. 北京: 科学出版社, 2009.</w:t>
      </w:r>
    </w:p>
    <w:p w14:paraId="305EDD1C"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数据可用性声明</w:t>
      </w:r>
    </w:p>
    <w:p w14:paraId="3FEFAA31"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流量数据获取地址：https://waterservices.usgs.gov/；气象数据获取地址：https://open-meteo.com/。完整代码与实验结果见项目目录hydro-ml-paper/。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1D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1544</Words>
  <Characters>3149</Characters>
  <Lines>0</Lines>
  <Paragraphs>0</Paragraphs>
  <TotalTime>2</TotalTime>
  <ScaleCrop>false</ScaleCrop>
  <LinksUpToDate>false</LinksUpToDate>
  <CharactersWithSpaces>3379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喵</cp:lastModifiedBy>
  <dcterms:modified xsi:type="dcterms:W3CDTF">2026-06-11T08:12:44Z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eyJoZGlkIjoiNDlmMDVhZDE0MGFlMTk4YTNhNDQwNzQ2NzkzYjVlMjkiLCJ1c2VySWQiOiIxNjY5MDUwMTQ0In0=</vt:lpwstr>
  </property>
  <property fmtid="{D5CDD505-2E9C-101B-9397-08002B2CF9AE}" pid="3" name="KSOProductBuildVer">
    <vt:lpwstr>2052-12.1.0.26895</vt:lpwstr>
  </property>
  <property fmtid="{D5CDD505-2E9C-101B-9397-08002B2CF9AE}" pid="4" name="ICV">
    <vt:lpwstr>0A64AC8818B640AEA456CABB3B8D2D8C_12</vt:lpwstr>
  </property>
</Properties>
</file>