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A0512F">
      <w:pPr>
        <w:spacing w:line="480" w:lineRule="auto"/>
        <w:ind w:firstLine="0"/>
        <w:jc w:val="center"/>
      </w:pPr>
      <w:r>
        <w:rPr>
          <w:rFonts w:ascii="Times New Roman" w:hAnsi="Times New Roman" w:eastAsia="Times New Roman"/>
          <w:b/>
          <w:i w:val="0"/>
          <w:sz w:val="28"/>
        </w:rPr>
        <w:t>Information value of upstream gauges and precipitation foresight for multi-horizon streamflow forecasting: Potomac–James mid-Atlantic evidence</w:t>
      </w:r>
    </w:p>
    <w:p w14:paraId="48E72E3E">
      <w:pPr>
        <w:spacing w:line="480" w:lineRule="auto"/>
        <w:ind w:firstLine="0"/>
        <w:jc w:val="center"/>
      </w:pPr>
      <w:r>
        <w:rPr>
          <w:rFonts w:ascii="Times New Roman" w:hAnsi="Times New Roman" w:eastAsia="Times New Roman"/>
          <w:b w:val="0"/>
          <w:i w:val="0"/>
          <w:sz w:val="24"/>
        </w:rPr>
        <w:t>Senjie Zhang¹</w:t>
      </w:r>
      <w:bookmarkStart w:id="0" w:name="_GoBack"/>
      <w:bookmarkEnd w:id="0"/>
    </w:p>
    <w:p w14:paraId="265A66D1">
      <w:pPr>
        <w:spacing w:line="480" w:lineRule="auto"/>
        <w:ind w:firstLine="0"/>
        <w:jc w:val="center"/>
        <w:rPr>
          <w:rFonts w:hint="default" w:eastAsia="宋体"/>
          <w:lang w:val="en-US" w:eastAsia="zh-CN"/>
        </w:rPr>
      </w:pPr>
      <w:r>
        <w:rPr>
          <w:rFonts w:hint="eastAsia" w:eastAsia="宋体"/>
          <w:lang w:val="en-US" w:eastAsia="zh-CN"/>
        </w:rPr>
        <w:t>Lanzhou University</w:t>
      </w:r>
    </w:p>
    <w:p w14:paraId="610D5706">
      <w:pPr>
        <w:spacing w:line="480" w:lineRule="auto"/>
        <w:ind w:firstLine="0"/>
        <w:jc w:val="center"/>
        <w:rPr>
          <w:rFonts w:ascii="Times New Roman" w:hAnsi="Times New Roman" w:eastAsia="Times New Roman"/>
          <w:b w:val="0"/>
          <w:i w:val="0"/>
          <w:sz w:val="20"/>
        </w:rPr>
      </w:pPr>
      <w:r>
        <w:rPr>
          <w:rFonts w:ascii="Times New Roman" w:hAnsi="Times New Roman" w:eastAsia="Times New Roman"/>
          <w:b w:val="0"/>
          <w:i w:val="0"/>
          <w:sz w:val="22"/>
        </w:rPr>
        <w:t xml:space="preserve"> E-mail:</w:t>
      </w:r>
      <w:r>
        <w:rPr>
          <w:rFonts w:hint="eastAsia" w:eastAsia="宋体"/>
          <w:b w:val="0"/>
          <w:i w:val="0"/>
          <w:sz w:val="22"/>
          <w:lang w:val="en-US" w:eastAsia="zh-CN"/>
        </w:rPr>
        <w:t>3079099853@qq.com</w:t>
      </w:r>
      <w:r>
        <w:rPr>
          <w:rFonts w:ascii="Times New Roman" w:hAnsi="Times New Roman" w:eastAsia="Times New Roman"/>
          <w:b w:val="0"/>
          <w:i w:val="0"/>
          <w:sz w:val="22"/>
        </w:rPr>
        <w:t xml:space="preserve">  |  ORCID:</w:t>
      </w:r>
      <w:r>
        <w:rPr>
          <w:rFonts w:ascii="sans-serif" w:hAnsi="sans-serif" w:eastAsia="sans-serif" w:cs="sans-serif"/>
          <w:i w:val="0"/>
          <w:iCs w:val="0"/>
          <w:caps w:val="0"/>
          <w:color w:val="000000"/>
          <w:spacing w:val="0"/>
          <w:sz w:val="14"/>
          <w:szCs w:val="14"/>
          <w:shd w:val="clear" w:fill="FFFFFF"/>
        </w:rPr>
        <w:t>0009-0001-8346-3603</w:t>
      </w:r>
      <w:r>
        <w:rPr>
          <w:rFonts w:ascii="Times New Roman" w:hAnsi="Times New Roman" w:eastAsia="Times New Roman"/>
          <w:b w:val="0"/>
          <w:i w:val="0"/>
          <w:sz w:val="20"/>
        </w:rPr>
        <w:t>:</w:t>
      </w:r>
    </w:p>
    <w:p w14:paraId="25614324">
      <w:pPr>
        <w:spacing w:line="480" w:lineRule="auto"/>
        <w:ind w:firstLine="0"/>
        <w:jc w:val="center"/>
      </w:pPr>
      <w:r>
        <w:rPr>
          <w:rFonts w:ascii="Times New Roman" w:hAnsi="Times New Roman" w:eastAsia="Times New Roman"/>
          <w:b w:val="0"/>
          <w:i w:val="0"/>
          <w:sz w:val="20"/>
        </w:rPr>
        <w:t xml:space="preserve"> Research Article  |  Journal: Hydrological Sciences Journal</w:t>
      </w:r>
    </w:p>
    <w:p w14:paraId="14B656B4">
      <w:pPr>
        <w:spacing w:before="240" w:line="480" w:lineRule="auto"/>
        <w:ind w:firstLine="0"/>
        <w:jc w:val="left"/>
      </w:pPr>
      <w:r>
        <w:rPr>
          <w:rFonts w:ascii="Times New Roman" w:hAnsi="Times New Roman" w:eastAsia="Times New Roman"/>
          <w:b/>
          <w:i w:val="0"/>
          <w:sz w:val="24"/>
        </w:rPr>
        <w:t>Highlights</w:t>
      </w:r>
    </w:p>
    <w:p w14:paraId="71FDE623">
      <w:pPr>
        <w:spacing w:line="480" w:lineRule="auto"/>
        <w:ind w:left="360" w:firstLine="0"/>
      </w:pPr>
      <w:r>
        <w:rPr>
          <w:rFonts w:ascii="Times New Roman" w:hAnsi="Times New Roman" w:eastAsia="Times New Roman"/>
          <w:b w:val="0"/>
          <w:i w:val="0"/>
          <w:sz w:val="24"/>
        </w:rPr>
        <w:t>• ML gains are judged against lagged-upstream routing, not persistence alone.</w:t>
      </w:r>
    </w:p>
    <w:p w14:paraId="1280AB00">
      <w:pPr>
        <w:spacing w:line="480" w:lineRule="auto"/>
        <w:ind w:left="360" w:firstLine="0"/>
      </w:pPr>
      <w:r>
        <w:rPr>
          <w:rFonts w:ascii="Times New Roman" w:hAnsi="Times New Roman" w:eastAsia="Times New Roman"/>
          <w:b w:val="0"/>
          <w:i w:val="0"/>
          <w:sz w:val="24"/>
        </w:rPr>
        <w:t>• James River replication confirms protocol transfer in the mid-Atlantic.</w:t>
      </w:r>
    </w:p>
    <w:p w14:paraId="43383C53">
      <w:pPr>
        <w:spacing w:line="480" w:lineRule="auto"/>
        <w:ind w:left="360" w:firstLine="0"/>
      </w:pPr>
      <w:r>
        <w:rPr>
          <w:rFonts w:ascii="Times New Roman" w:hAnsi="Times New Roman" w:eastAsia="Times New Roman"/>
          <w:b w:val="0"/>
          <w:i w:val="0"/>
          <w:sz w:val="24"/>
        </w:rPr>
        <w:t>• Oracle precip lifts 3–7d NSE; raw GFS QPF needs careful use at longer leads.</w:t>
      </w:r>
    </w:p>
    <w:p w14:paraId="3C2BDD90">
      <w:pPr>
        <w:spacing w:line="480" w:lineRule="auto"/>
        <w:ind w:left="360" w:firstLine="0"/>
      </w:pPr>
      <w:r>
        <w:rPr>
          <w:rFonts w:ascii="Times New Roman" w:hAnsi="Times New Roman" w:eastAsia="Times New Roman"/>
          <w:b w:val="0"/>
          <w:i w:val="0"/>
          <w:sz w:val="24"/>
        </w:rPr>
        <w:t>• P90 flood CSI is useful at 1 day but weak for weekly observation-only alerts.</w:t>
      </w:r>
    </w:p>
    <w:p w14:paraId="7FBF215A">
      <w:pPr>
        <w:spacing w:line="480" w:lineRule="auto"/>
        <w:ind w:left="360" w:firstLine="0"/>
      </w:pPr>
      <w:r>
        <w:rPr>
          <w:rFonts w:ascii="Times New Roman" w:hAnsi="Times New Roman" w:eastAsia="Times New Roman"/>
          <w:b w:val="0"/>
          <w:i w:val="0"/>
          <w:sz w:val="24"/>
        </w:rPr>
        <w:t>• Upstream ablation shows basin-dependent gauge value for next-day outlooks.</w:t>
      </w:r>
    </w:p>
    <w:p w14:paraId="00CCE69E">
      <w:pPr>
        <w:spacing w:before="240" w:line="480" w:lineRule="auto"/>
        <w:ind w:firstLine="0"/>
        <w:jc w:val="left"/>
      </w:pPr>
      <w:r>
        <w:rPr>
          <w:rFonts w:ascii="Times New Roman" w:hAnsi="Times New Roman" w:eastAsia="Times New Roman"/>
          <w:b/>
          <w:i w:val="0"/>
          <w:sz w:val="24"/>
        </w:rPr>
        <w:t>Abstract</w:t>
      </w:r>
    </w:p>
    <w:p w14:paraId="3D1AC28C">
      <w:pPr>
        <w:spacing w:line="480" w:lineRule="auto"/>
        <w:ind w:firstLine="0"/>
        <w:jc w:val="both"/>
      </w:pPr>
      <w:r>
        <w:rPr>
          <w:rFonts w:ascii="Times New Roman" w:hAnsi="Times New Roman" w:eastAsia="Times New Roman"/>
          <w:b w:val="0"/>
          <w:i w:val="0"/>
          <w:sz w:val="24"/>
        </w:rPr>
        <w:t>Whether upstream gauges improve downstream forecasts is no longer a novel claim. The operational question is how forecast information is partitioned among routing memory, nonlinear learning, and precipitation foresight, and whether that partition transfers across neighboring basins. We address this for two mid-Atlantic outlets—the Potomac River at Washington, D.C. (USGS 01646500) and the James River near Richmond, VA (02037500)—using public USGS discharge and Open-Meteo meteorology (2000–2023 test window) plus GFS previous-run quantitative precipitation forecasts (QPF) for 2024. Models are scored against persistence and a lagged-upstream linear routing baseline; upstream value is tested by ablation; flood utility uses P90 exceedance CSI/POD/FAR; and precip foresight is compared as observation-only, precipitation persistence, real GFS QPF, and perfect-foresight oracle. On the Potomac, 1-day LSTM-Attention NSE = 0.930 exceeds routing (0.861); James replication shows even stronger routing (0.920) with a large upstream-ablation gain (ΔNSE = 0.129). Oracle precip raises longer-lead skill, while raw GFS QPF improves 1-day 2024 NSE relative to observation-only inputs but can degrade uncorrected 3-day forecasts. Flood CSI is useful next day (~0.75) yet weak weekly. The transferable message is conditional gauge-network and QPF design guidance for mid-Atlantic short-range forecasting.</w:t>
      </w:r>
    </w:p>
    <w:p w14:paraId="4F77A986">
      <w:pPr>
        <w:spacing w:line="480" w:lineRule="auto"/>
        <w:ind w:firstLine="0"/>
        <w:jc w:val="both"/>
      </w:pPr>
      <w:r>
        <w:rPr>
          <w:rFonts w:ascii="Times New Roman" w:hAnsi="Times New Roman" w:eastAsia="Times New Roman"/>
          <w:b w:val="0"/>
          <w:i w:val="0"/>
          <w:sz w:val="24"/>
        </w:rPr>
        <w:t>Keywords: streamflow forecasting; information value; upstream gauges; QPF; flood warning; Potomac River; James River; LSTM</w:t>
      </w:r>
    </w:p>
    <w:p w14:paraId="02800F87">
      <w:pPr>
        <w:spacing w:before="240" w:line="480" w:lineRule="auto"/>
        <w:ind w:firstLine="0"/>
        <w:jc w:val="left"/>
      </w:pPr>
      <w:r>
        <w:rPr>
          <w:rFonts w:ascii="Times New Roman" w:hAnsi="Times New Roman" w:eastAsia="Times New Roman"/>
          <w:b/>
          <w:i w:val="0"/>
          <w:sz w:val="24"/>
        </w:rPr>
        <w:t>1. Introduction</w:t>
      </w:r>
    </w:p>
    <w:p w14:paraId="0D91E308">
      <w:pPr>
        <w:spacing w:line="480" w:lineRule="auto"/>
        <w:ind w:firstLine="480"/>
        <w:jc w:val="both"/>
      </w:pPr>
      <w:r>
        <w:rPr>
          <w:rFonts w:ascii="Times New Roman" w:hAnsi="Times New Roman" w:eastAsia="Times New Roman"/>
          <w:b w:val="0"/>
          <w:i w:val="0"/>
          <w:sz w:val="24"/>
        </w:rPr>
        <w:t>Upstream discharge is a physically expected predictor of downstream short-range streamflow. Repeating that fact for a single humid basin, framed as a scenario simulation of upstream forcing, does not constitute a sufficient contribution for an international hydrology readership. What remains useful is a sharper information-value question: relative to a simple hydrologic routing reference, how large is the residual gain from machine learning; at which leads does skill become limited by missing future rainfall rather than by gauge density; do bulk NSE gains translate into flood-threshold alert skill; and do these patterns transfer to a neighboring mid-Atlantic basin (Kratzert et al., 2019; Frame et al., 2022; Nearing et al., 2021).</w:t>
      </w:r>
    </w:p>
    <w:p w14:paraId="50E6080F">
      <w:pPr>
        <w:spacing w:line="480" w:lineRule="auto"/>
        <w:ind w:firstLine="480"/>
        <w:jc w:val="both"/>
      </w:pPr>
      <w:r>
        <w:rPr>
          <w:rFonts w:ascii="Times New Roman" w:hAnsi="Times New Roman" w:eastAsia="Times New Roman"/>
          <w:b w:val="0"/>
          <w:i w:val="0"/>
          <w:sz w:val="24"/>
        </w:rPr>
        <w:t>Deep learning and gradient boosting provide strong benchmarks when dense archives exist (Kratzert et al., 2018; Chen and Guestrin, 2016; Shen, 2018). Architecture novelty is secondary unless paired with hydrological insight about information pathways. Here we deliberately avoid claiming a new universal network. Instead we quantify an information partition for the Potomac outlet and test protocol transfer on the James River.</w:t>
      </w:r>
    </w:p>
    <w:p w14:paraId="03B1128F">
      <w:pPr>
        <w:spacing w:line="480" w:lineRule="auto"/>
        <w:ind w:firstLine="480"/>
        <w:jc w:val="both"/>
      </w:pPr>
      <w:r>
        <w:rPr>
          <w:rFonts w:ascii="Times New Roman" w:hAnsi="Times New Roman" w:eastAsia="Times New Roman"/>
          <w:b w:val="0"/>
          <w:i w:val="0"/>
          <w:sz w:val="24"/>
        </w:rPr>
        <w:t>Objectives are to (i) measure multi-horizon skill against persistence and lagged-upstream linear routing, (ii) quantify upstream-gauge value by ablation on both basins, (iii) compare observation-only forecasts with precipitation persistence, real GFS QPF and an oracle precipitation ceiling, and (iv) report P90 flood-threshold CSI/POD/FAR.</w:t>
      </w:r>
    </w:p>
    <w:p w14:paraId="05FF0048">
      <w:pPr>
        <w:spacing w:before="240" w:line="480" w:lineRule="auto"/>
        <w:ind w:firstLine="0"/>
        <w:jc w:val="left"/>
      </w:pPr>
      <w:r>
        <w:rPr>
          <w:rFonts w:ascii="Times New Roman" w:hAnsi="Times New Roman" w:eastAsia="Times New Roman"/>
          <w:b/>
          <w:i w:val="0"/>
          <w:sz w:val="24"/>
        </w:rPr>
        <w:t>2. Study areas and data</w:t>
      </w:r>
    </w:p>
    <w:p w14:paraId="7AF28AFA">
      <w:pPr>
        <w:spacing w:line="480" w:lineRule="auto"/>
        <w:ind w:firstLine="480"/>
        <w:jc w:val="both"/>
      </w:pPr>
      <w:r>
        <w:rPr>
          <w:rFonts w:ascii="Times New Roman" w:hAnsi="Times New Roman" w:eastAsia="Times New Roman"/>
          <w:b w:val="0"/>
          <w:i w:val="0"/>
          <w:sz w:val="24"/>
        </w:rPr>
        <w:t>Potomac network: target USGS 01646500 (Washington, D.C.) with upstream 01636500 (Shenandoah at Millville) and 01638480 (Potomac at Harpers Ferry). James network: target 02037500 (near Richmond) with upstream 02035000 (Cartersville) and 02034000 (Rivanna at Palmyra). Both are humid subtropical mid-Atlantic corridors with strong societal exposure. Daily discharge (USGS NWIS) and Open-Meteo precipitation/temperature span 2000–2024. Real QPF uses Open-Meteo GFS previous-run hourly precipitation aggregated to daily sums for lead times 1, 3 and 7 days in 2024 (Fig. 1).</w:t>
      </w:r>
    </w:p>
    <w:p w14:paraId="7EAC268F">
      <w:pPr>
        <w:ind w:firstLine="0"/>
        <w:jc w:val="center"/>
      </w:pPr>
      <w:r>
        <w:drawing>
          <wp:inline distT="0" distB="0" distL="114300" distR="114300">
            <wp:extent cx="5303520" cy="2611120"/>
            <wp:effectExtent l="0" t="0" r="508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2611480"/>
                    </a:xfrm>
                    <a:prstGeom prst="rect">
                      <a:avLst/>
                    </a:prstGeom>
                  </pic:spPr>
                </pic:pic>
              </a:graphicData>
            </a:graphic>
          </wp:inline>
        </w:drawing>
      </w:r>
    </w:p>
    <w:p w14:paraId="567872C4">
      <w:pPr>
        <w:spacing w:line="480" w:lineRule="auto"/>
        <w:ind w:firstLine="0"/>
        <w:jc w:val="center"/>
      </w:pPr>
      <w:r>
        <w:rPr>
          <w:rFonts w:ascii="Times New Roman" w:hAnsi="Times New Roman" w:eastAsia="Times New Roman"/>
          <w:b w:val="0"/>
          <w:i w:val="0"/>
          <w:sz w:val="22"/>
        </w:rPr>
        <w:t>Fig. 1. Potomac gauge schematic used in the primary experiments (James network analogous).</w:t>
      </w:r>
    </w:p>
    <w:p w14:paraId="56ED2BF3">
      <w:pPr>
        <w:spacing w:line="480" w:lineRule="auto"/>
        <w:ind w:firstLine="0"/>
        <w:jc w:val="center"/>
      </w:pPr>
      <w:r>
        <w:rPr>
          <w:rFonts w:ascii="Times New Roman" w:hAnsi="Times New Roman" w:eastAsia="Times New Roman"/>
          <w:b w:val="0"/>
          <w:i w:val="0"/>
          <w:sz w:val="22"/>
        </w:rPr>
        <w:t>Table 1. Gauge networks.</w:t>
      </w:r>
    </w:p>
    <w:tbl>
      <w:tblPr>
        <w:tblStyle w:val="32"/>
        <w:tblW w:w="0" w:type="auto"/>
        <w:tblInd w:w="0" w:type="dxa"/>
        <w:tblLayout w:type="autofit"/>
        <w:tblCellMar>
          <w:top w:w="0" w:type="dxa"/>
          <w:left w:w="108" w:type="dxa"/>
          <w:bottom w:w="0" w:type="dxa"/>
          <w:right w:w="108" w:type="dxa"/>
        </w:tblCellMar>
      </w:tblPr>
      <w:tblGrid>
        <w:gridCol w:w="2351"/>
        <w:gridCol w:w="2351"/>
        <w:gridCol w:w="2351"/>
        <w:gridCol w:w="2351"/>
      </w:tblGrid>
      <w:tr w14:paraId="6F7C804A">
        <w:tblPrEx>
          <w:tblCellMar>
            <w:top w:w="0" w:type="dxa"/>
            <w:left w:w="108" w:type="dxa"/>
            <w:bottom w:w="0" w:type="dxa"/>
            <w:right w:w="108" w:type="dxa"/>
          </w:tblCellMar>
        </w:tblPrEx>
        <w:tc>
          <w:tcPr>
            <w:tcW w:w="2351" w:type="dxa"/>
          </w:tcPr>
          <w:p w14:paraId="0383E7F4">
            <w:r>
              <w:t>Basin</w:t>
            </w:r>
          </w:p>
        </w:tc>
        <w:tc>
          <w:tcPr>
            <w:tcW w:w="2351" w:type="dxa"/>
          </w:tcPr>
          <w:p w14:paraId="54D3661E">
            <w:r>
              <w:t>Site ID</w:t>
            </w:r>
          </w:p>
        </w:tc>
        <w:tc>
          <w:tcPr>
            <w:tcW w:w="2351" w:type="dxa"/>
          </w:tcPr>
          <w:p w14:paraId="6F3AA621">
            <w:r>
              <w:t>Name</w:t>
            </w:r>
          </w:p>
        </w:tc>
        <w:tc>
          <w:tcPr>
            <w:tcW w:w="2351" w:type="dxa"/>
          </w:tcPr>
          <w:p w14:paraId="1E0DEF21">
            <w:r>
              <w:t>Role</w:t>
            </w:r>
          </w:p>
        </w:tc>
      </w:tr>
      <w:tr w14:paraId="65F4BD93">
        <w:tblPrEx>
          <w:tblCellMar>
            <w:top w:w="0" w:type="dxa"/>
            <w:left w:w="108" w:type="dxa"/>
            <w:bottom w:w="0" w:type="dxa"/>
            <w:right w:w="108" w:type="dxa"/>
          </w:tblCellMar>
        </w:tblPrEx>
        <w:tc>
          <w:tcPr>
            <w:tcW w:w="2351" w:type="dxa"/>
          </w:tcPr>
          <w:p w14:paraId="1EB091AC">
            <w:r>
              <w:t>Potomac</w:t>
            </w:r>
          </w:p>
        </w:tc>
        <w:tc>
          <w:tcPr>
            <w:tcW w:w="2351" w:type="dxa"/>
          </w:tcPr>
          <w:p w14:paraId="48272122">
            <w:r>
              <w:t>01646500</w:t>
            </w:r>
          </w:p>
        </w:tc>
        <w:tc>
          <w:tcPr>
            <w:tcW w:w="2351" w:type="dxa"/>
          </w:tcPr>
          <w:p w14:paraId="0C05C503">
            <w:r>
              <w:t>Potomac at Washington, DC</w:t>
            </w:r>
          </w:p>
        </w:tc>
        <w:tc>
          <w:tcPr>
            <w:tcW w:w="2351" w:type="dxa"/>
          </w:tcPr>
          <w:p w14:paraId="609B84D8">
            <w:r>
              <w:t>Target</w:t>
            </w:r>
          </w:p>
        </w:tc>
      </w:tr>
      <w:tr w14:paraId="62429693">
        <w:tblPrEx>
          <w:tblCellMar>
            <w:top w:w="0" w:type="dxa"/>
            <w:left w:w="108" w:type="dxa"/>
            <w:bottom w:w="0" w:type="dxa"/>
            <w:right w:w="108" w:type="dxa"/>
          </w:tblCellMar>
        </w:tblPrEx>
        <w:tc>
          <w:tcPr>
            <w:tcW w:w="2351" w:type="dxa"/>
          </w:tcPr>
          <w:p w14:paraId="0316AC73">
            <w:r>
              <w:t>Potomac</w:t>
            </w:r>
          </w:p>
        </w:tc>
        <w:tc>
          <w:tcPr>
            <w:tcW w:w="2351" w:type="dxa"/>
          </w:tcPr>
          <w:p w14:paraId="484F8128">
            <w:r>
              <w:t>01636500</w:t>
            </w:r>
          </w:p>
        </w:tc>
        <w:tc>
          <w:tcPr>
            <w:tcW w:w="2351" w:type="dxa"/>
          </w:tcPr>
          <w:p w14:paraId="26E96154">
            <w:r>
              <w:t>Shenandoah at Millville, WV</w:t>
            </w:r>
          </w:p>
        </w:tc>
        <w:tc>
          <w:tcPr>
            <w:tcW w:w="2351" w:type="dxa"/>
          </w:tcPr>
          <w:p w14:paraId="37005C5A">
            <w:r>
              <w:t>Upstream</w:t>
            </w:r>
          </w:p>
        </w:tc>
      </w:tr>
      <w:tr w14:paraId="77D8B502">
        <w:tblPrEx>
          <w:tblCellMar>
            <w:top w:w="0" w:type="dxa"/>
            <w:left w:w="108" w:type="dxa"/>
            <w:bottom w:w="0" w:type="dxa"/>
            <w:right w:w="108" w:type="dxa"/>
          </w:tblCellMar>
        </w:tblPrEx>
        <w:tc>
          <w:tcPr>
            <w:tcW w:w="2351" w:type="dxa"/>
          </w:tcPr>
          <w:p w14:paraId="3313FD57">
            <w:r>
              <w:t>Potomac</w:t>
            </w:r>
          </w:p>
        </w:tc>
        <w:tc>
          <w:tcPr>
            <w:tcW w:w="2351" w:type="dxa"/>
          </w:tcPr>
          <w:p w14:paraId="028B9B8F">
            <w:r>
              <w:t>01638480</w:t>
            </w:r>
          </w:p>
        </w:tc>
        <w:tc>
          <w:tcPr>
            <w:tcW w:w="2351" w:type="dxa"/>
          </w:tcPr>
          <w:p w14:paraId="469BBAE0">
            <w:r>
              <w:t>Potomac at Harpers Ferry, WV</w:t>
            </w:r>
          </w:p>
        </w:tc>
        <w:tc>
          <w:tcPr>
            <w:tcW w:w="2351" w:type="dxa"/>
          </w:tcPr>
          <w:p w14:paraId="78F71CC9">
            <w:r>
              <w:t>Upstream</w:t>
            </w:r>
          </w:p>
        </w:tc>
      </w:tr>
      <w:tr w14:paraId="1D3E0C2D">
        <w:tblPrEx>
          <w:tblCellMar>
            <w:top w:w="0" w:type="dxa"/>
            <w:left w:w="108" w:type="dxa"/>
            <w:bottom w:w="0" w:type="dxa"/>
            <w:right w:w="108" w:type="dxa"/>
          </w:tblCellMar>
        </w:tblPrEx>
        <w:tc>
          <w:tcPr>
            <w:tcW w:w="2351" w:type="dxa"/>
          </w:tcPr>
          <w:p w14:paraId="6D77F8F7">
            <w:r>
              <w:t>James</w:t>
            </w:r>
          </w:p>
        </w:tc>
        <w:tc>
          <w:tcPr>
            <w:tcW w:w="2351" w:type="dxa"/>
          </w:tcPr>
          <w:p w14:paraId="6F20B49A">
            <w:r>
              <w:t>02037500</w:t>
            </w:r>
          </w:p>
        </w:tc>
        <w:tc>
          <w:tcPr>
            <w:tcW w:w="2351" w:type="dxa"/>
          </w:tcPr>
          <w:p w14:paraId="376B0429">
            <w:r>
              <w:t>James near Richmond, VA</w:t>
            </w:r>
          </w:p>
        </w:tc>
        <w:tc>
          <w:tcPr>
            <w:tcW w:w="2351" w:type="dxa"/>
          </w:tcPr>
          <w:p w14:paraId="735EDB3B">
            <w:r>
              <w:t>Target</w:t>
            </w:r>
          </w:p>
        </w:tc>
      </w:tr>
      <w:tr w14:paraId="26D552AC">
        <w:tblPrEx>
          <w:tblCellMar>
            <w:top w:w="0" w:type="dxa"/>
            <w:left w:w="108" w:type="dxa"/>
            <w:bottom w:w="0" w:type="dxa"/>
            <w:right w:w="108" w:type="dxa"/>
          </w:tblCellMar>
        </w:tblPrEx>
        <w:tc>
          <w:tcPr>
            <w:tcW w:w="2351" w:type="dxa"/>
          </w:tcPr>
          <w:p w14:paraId="67F43A0A">
            <w:r>
              <w:t>James</w:t>
            </w:r>
          </w:p>
        </w:tc>
        <w:tc>
          <w:tcPr>
            <w:tcW w:w="2351" w:type="dxa"/>
          </w:tcPr>
          <w:p w14:paraId="18DCD2E3">
            <w:r>
              <w:t>02035000</w:t>
            </w:r>
          </w:p>
        </w:tc>
        <w:tc>
          <w:tcPr>
            <w:tcW w:w="2351" w:type="dxa"/>
          </w:tcPr>
          <w:p w14:paraId="666854D4">
            <w:r>
              <w:t>James at Cartersville, VA</w:t>
            </w:r>
          </w:p>
        </w:tc>
        <w:tc>
          <w:tcPr>
            <w:tcW w:w="2351" w:type="dxa"/>
          </w:tcPr>
          <w:p w14:paraId="7E04C394">
            <w:r>
              <w:t>Upstream</w:t>
            </w:r>
          </w:p>
        </w:tc>
      </w:tr>
      <w:tr w14:paraId="45EF4901">
        <w:tblPrEx>
          <w:tblCellMar>
            <w:top w:w="0" w:type="dxa"/>
            <w:left w:w="108" w:type="dxa"/>
            <w:bottom w:w="0" w:type="dxa"/>
            <w:right w:w="108" w:type="dxa"/>
          </w:tblCellMar>
        </w:tblPrEx>
        <w:tc>
          <w:tcPr>
            <w:tcW w:w="2351" w:type="dxa"/>
          </w:tcPr>
          <w:p w14:paraId="58C7AAEA">
            <w:r>
              <w:t>James</w:t>
            </w:r>
          </w:p>
        </w:tc>
        <w:tc>
          <w:tcPr>
            <w:tcW w:w="2351" w:type="dxa"/>
          </w:tcPr>
          <w:p w14:paraId="3EDAB03C">
            <w:r>
              <w:t>02034000</w:t>
            </w:r>
          </w:p>
        </w:tc>
        <w:tc>
          <w:tcPr>
            <w:tcW w:w="2351" w:type="dxa"/>
          </w:tcPr>
          <w:p w14:paraId="02120C4A">
            <w:r>
              <w:t>Rivanna at Palmyra, VA</w:t>
            </w:r>
          </w:p>
        </w:tc>
        <w:tc>
          <w:tcPr>
            <w:tcW w:w="2351" w:type="dxa"/>
          </w:tcPr>
          <w:p w14:paraId="096DE359">
            <w:r>
              <w:t>Upstream</w:t>
            </w:r>
          </w:p>
        </w:tc>
      </w:tr>
    </w:tbl>
    <w:p w14:paraId="33A04BBC">
      <w:pPr>
        <w:spacing w:before="240" w:line="480" w:lineRule="auto"/>
        <w:ind w:firstLine="0"/>
        <w:jc w:val="left"/>
      </w:pPr>
      <w:r>
        <w:rPr>
          <w:rFonts w:ascii="Times New Roman" w:hAnsi="Times New Roman" w:eastAsia="Times New Roman"/>
          <w:b/>
          <w:i w:val="0"/>
          <w:sz w:val="24"/>
        </w:rPr>
        <w:t>3. Methods</w:t>
      </w:r>
    </w:p>
    <w:p w14:paraId="5B41E6D1">
      <w:pPr>
        <w:spacing w:before="240" w:line="480" w:lineRule="auto"/>
        <w:ind w:firstLine="0"/>
        <w:jc w:val="left"/>
      </w:pPr>
      <w:r>
        <w:rPr>
          <w:rFonts w:ascii="Times New Roman" w:hAnsi="Times New Roman" w:eastAsia="Times New Roman"/>
          <w:b/>
          <w:i w:val="0"/>
          <w:sz w:val="24"/>
        </w:rPr>
        <w:t>3.1 Forecast task</w:t>
      </w:r>
    </w:p>
    <w:p w14:paraId="03161686">
      <w:pPr>
        <w:spacing w:line="480" w:lineRule="auto"/>
        <w:ind w:firstLine="480"/>
        <w:jc w:val="both"/>
      </w:pPr>
      <w:r>
        <w:rPr>
          <w:rFonts w:ascii="Times New Roman" w:hAnsi="Times New Roman" w:eastAsia="Times New Roman"/>
          <w:b w:val="0"/>
          <w:i w:val="0"/>
          <w:sz w:val="24"/>
        </w:rPr>
        <w:t>Predict Q_target(t+h), h ∈ {1, 3, 7}, from 30-day sequences of local discharge, precipitation and temperature plus upstream discharge and precipitation. Chronological split for basin experiments: train ≤2018, validation 2019–2020, test 2021–2023. QPF experiments use train ≤2022, validation 2023, test 2024 because the previous-run archive used here begins in 2024. Pre-2024 foresight features for the QPF-trained model use precipitation persistence fill; 2024 test uses real GFS QPF.</w:t>
      </w:r>
    </w:p>
    <w:p w14:paraId="7FF05023">
      <w:pPr>
        <w:spacing w:before="240" w:line="480" w:lineRule="auto"/>
        <w:ind w:firstLine="0"/>
        <w:jc w:val="left"/>
      </w:pPr>
      <w:r>
        <w:rPr>
          <w:rFonts w:ascii="Times New Roman" w:hAnsi="Times New Roman" w:eastAsia="Times New Roman"/>
          <w:b/>
          <w:i w:val="0"/>
          <w:sz w:val="24"/>
        </w:rPr>
        <w:t>3.2 Models and baselines</w:t>
      </w:r>
    </w:p>
    <w:p w14:paraId="332075A5">
      <w:pPr>
        <w:spacing w:line="480" w:lineRule="auto"/>
        <w:ind w:firstLine="480"/>
        <w:jc w:val="both"/>
      </w:pPr>
      <w:r>
        <w:rPr>
          <w:rFonts w:ascii="Times New Roman" w:hAnsi="Times New Roman" w:eastAsia="Times New Roman"/>
          <w:b w:val="0"/>
          <w:i w:val="0"/>
          <w:sz w:val="24"/>
        </w:rPr>
        <w:t>Persistence; lagged-upstream linear regression with lag L ∈ {0–3} selected on train+validation; XGBoost; LSTM-Attention (2×64, dropout 0.2). Upstream ablation retrains Attention on local-only inputs.</w:t>
      </w:r>
    </w:p>
    <w:p w14:paraId="0608629D">
      <w:pPr>
        <w:spacing w:before="240" w:line="480" w:lineRule="auto"/>
        <w:ind w:firstLine="0"/>
        <w:jc w:val="left"/>
      </w:pPr>
      <w:r>
        <w:rPr>
          <w:rFonts w:ascii="Times New Roman" w:hAnsi="Times New Roman" w:eastAsia="Times New Roman"/>
          <w:b/>
          <w:i w:val="0"/>
          <w:sz w:val="24"/>
        </w:rPr>
        <w:t>3.3 Precipitation foresight ladder</w:t>
      </w:r>
    </w:p>
    <w:p w14:paraId="36B7AADE">
      <w:pPr>
        <w:spacing w:line="480" w:lineRule="auto"/>
        <w:ind w:firstLine="480"/>
        <w:jc w:val="both"/>
      </w:pPr>
      <w:r>
        <w:rPr>
          <w:rFonts w:ascii="Times New Roman" w:hAnsi="Times New Roman" w:eastAsia="Times New Roman"/>
          <w:b w:val="0"/>
          <w:i w:val="0"/>
          <w:sz w:val="24"/>
        </w:rPr>
        <w:t>Four Attention configurations on Potomac 2024: (1) observation-only; (2) precipitation persistence foresight; (3) real GFS QPF foresight; (4) perfect-foresight oracle precipitation. Separately, oracle-versus-observation ceilings on the 2021–2023 Potomac window quantify the information gap without QPF archive constraints.</w:t>
      </w:r>
    </w:p>
    <w:p w14:paraId="589915B2">
      <w:pPr>
        <w:spacing w:before="240" w:line="480" w:lineRule="auto"/>
        <w:ind w:firstLine="0"/>
        <w:jc w:val="left"/>
      </w:pPr>
      <w:r>
        <w:rPr>
          <w:rFonts w:ascii="Times New Roman" w:hAnsi="Times New Roman" w:eastAsia="Times New Roman"/>
          <w:b/>
          <w:i w:val="0"/>
          <w:sz w:val="24"/>
        </w:rPr>
        <w:t>3.4 Evaluation</w:t>
      </w:r>
    </w:p>
    <w:p w14:paraId="053E1803">
      <w:pPr>
        <w:spacing w:line="480" w:lineRule="auto"/>
        <w:ind w:firstLine="480"/>
        <w:jc w:val="both"/>
      </w:pPr>
      <w:r>
        <w:rPr>
          <w:rFonts w:ascii="Times New Roman" w:hAnsi="Times New Roman" w:eastAsia="Times New Roman"/>
          <w:b w:val="0"/>
          <w:i w:val="0"/>
          <w:sz w:val="24"/>
        </w:rPr>
        <w:t>NSE/KGE/RMSE/MAE/PBIAS; P90 flood threshold from training discharge (Potomac P90 ≈ 26200 cfs) with POD/FAR/CSI; GFS QPF verified against observed daily precipitation (correlation and RMSE).</w:t>
      </w:r>
    </w:p>
    <w:p w14:paraId="4FF74CB6">
      <w:pPr>
        <w:spacing w:before="240" w:line="480" w:lineRule="auto"/>
        <w:ind w:firstLine="0"/>
        <w:jc w:val="left"/>
      </w:pPr>
      <w:r>
        <w:rPr>
          <w:rFonts w:ascii="Times New Roman" w:hAnsi="Times New Roman" w:eastAsia="Times New Roman"/>
          <w:b/>
          <w:i w:val="0"/>
          <w:sz w:val="24"/>
        </w:rPr>
        <w:t>4. Results</w:t>
      </w:r>
    </w:p>
    <w:p w14:paraId="17905DE0">
      <w:pPr>
        <w:spacing w:before="240" w:line="480" w:lineRule="auto"/>
        <w:ind w:firstLine="0"/>
        <w:jc w:val="left"/>
      </w:pPr>
      <w:r>
        <w:rPr>
          <w:rFonts w:ascii="Times New Roman" w:hAnsi="Times New Roman" w:eastAsia="Times New Roman"/>
          <w:b/>
          <w:i w:val="0"/>
          <w:sz w:val="24"/>
        </w:rPr>
        <w:t>4.1 Potomac skill against routing</w:t>
      </w:r>
    </w:p>
    <w:p w14:paraId="53C4F9C5">
      <w:pPr>
        <w:spacing w:line="480" w:lineRule="auto"/>
        <w:ind w:firstLine="480"/>
        <w:jc w:val="both"/>
      </w:pPr>
      <w:r>
        <w:rPr>
          <w:rFonts w:ascii="Times New Roman" w:hAnsi="Times New Roman" w:eastAsia="Times New Roman"/>
          <w:b w:val="0"/>
          <w:i w:val="0"/>
          <w:sz w:val="24"/>
        </w:rPr>
        <w:t>At 1 day, routing already reaches NSE = 0.861, while Attention reaches 0.930 and XGBoost 0.911 (Figs. 2–3; Table 2). The ML residual over routing is finite (~0.070 NSE). At 3–7 days, observation-driven skill collapses for all methods, with Attention retaining a larger 7-day residual (0.218) than routing (0.072). Hydrograph excerpts (Figs. 4–6) illustrate progressive loss of amplitude and timing fidelity with lead time.</w:t>
      </w:r>
    </w:p>
    <w:p w14:paraId="19DBCE61">
      <w:pPr>
        <w:ind w:firstLine="0"/>
        <w:jc w:val="center"/>
      </w:pPr>
      <w:r>
        <w:drawing>
          <wp:inline distT="0" distB="0" distL="114300" distR="114300">
            <wp:extent cx="5303520" cy="2969895"/>
            <wp:effectExtent l="0" t="0" r="508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2969971"/>
                    </a:xfrm>
                    <a:prstGeom prst="rect">
                      <a:avLst/>
                    </a:prstGeom>
                  </pic:spPr>
                </pic:pic>
              </a:graphicData>
            </a:graphic>
          </wp:inline>
        </w:drawing>
      </w:r>
    </w:p>
    <w:p w14:paraId="5E81966A">
      <w:pPr>
        <w:spacing w:line="480" w:lineRule="auto"/>
        <w:ind w:firstLine="0"/>
        <w:jc w:val="center"/>
      </w:pPr>
      <w:r>
        <w:rPr>
          <w:rFonts w:ascii="Times New Roman" w:hAnsi="Times New Roman" w:eastAsia="Times New Roman"/>
          <w:b w:val="0"/>
          <w:i w:val="0"/>
          <w:sz w:val="22"/>
        </w:rPr>
        <w:t>Fig. 2. Potomac test NSE versus persistence and lagged-upstream linear routing.</w:t>
      </w:r>
    </w:p>
    <w:p w14:paraId="0B8CC745">
      <w:pPr>
        <w:ind w:firstLine="0"/>
        <w:jc w:val="center"/>
      </w:pPr>
      <w:r>
        <w:drawing>
          <wp:inline distT="0" distB="0" distL="114300" distR="114300">
            <wp:extent cx="5303520" cy="1768475"/>
            <wp:effectExtent l="0" t="0" r="508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1768476"/>
                    </a:xfrm>
                    <a:prstGeom prst="rect">
                      <a:avLst/>
                    </a:prstGeom>
                  </pic:spPr>
                </pic:pic>
              </a:graphicData>
            </a:graphic>
          </wp:inline>
        </w:drawing>
      </w:r>
    </w:p>
    <w:p w14:paraId="728F7829">
      <w:pPr>
        <w:spacing w:line="480" w:lineRule="auto"/>
        <w:ind w:firstLine="0"/>
        <w:jc w:val="center"/>
      </w:pPr>
      <w:r>
        <w:rPr>
          <w:rFonts w:ascii="Times New Roman" w:hAnsi="Times New Roman" w:eastAsia="Times New Roman"/>
          <w:b w:val="0"/>
          <w:i w:val="0"/>
          <w:sz w:val="22"/>
        </w:rPr>
        <w:t>Fig. 3. Bulk NSE/KGE/RMSE comparison across 1-, 3- and 7-day horizons (Potomac).</w:t>
      </w:r>
    </w:p>
    <w:p w14:paraId="553661DF">
      <w:pPr>
        <w:ind w:firstLine="0"/>
        <w:jc w:val="center"/>
      </w:pPr>
      <w:r>
        <w:drawing>
          <wp:inline distT="0" distB="0" distL="114300" distR="114300">
            <wp:extent cx="5303520" cy="1831975"/>
            <wp:effectExtent l="0" t="0" r="508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1832125"/>
                    </a:xfrm>
                    <a:prstGeom prst="rect">
                      <a:avLst/>
                    </a:prstGeom>
                  </pic:spPr>
                </pic:pic>
              </a:graphicData>
            </a:graphic>
          </wp:inline>
        </w:drawing>
      </w:r>
    </w:p>
    <w:p w14:paraId="4AA56A70">
      <w:pPr>
        <w:spacing w:line="480" w:lineRule="auto"/>
        <w:ind w:firstLine="0"/>
        <w:jc w:val="center"/>
      </w:pPr>
      <w:r>
        <w:rPr>
          <w:rFonts w:ascii="Times New Roman" w:hAnsi="Times New Roman" w:eastAsia="Times New Roman"/>
          <w:b w:val="0"/>
          <w:i w:val="0"/>
          <w:sz w:val="22"/>
        </w:rPr>
        <w:t>Fig. 4. Potomac test hydrograph excerpt (1-day ahead).</w:t>
      </w:r>
    </w:p>
    <w:p w14:paraId="4ABEFE3B">
      <w:pPr>
        <w:ind w:firstLine="0"/>
        <w:jc w:val="center"/>
      </w:pPr>
      <w:r>
        <w:drawing>
          <wp:inline distT="0" distB="0" distL="114300" distR="114300">
            <wp:extent cx="5303520" cy="1831975"/>
            <wp:effectExtent l="0" t="0" r="508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03520" cy="1832125"/>
                    </a:xfrm>
                    <a:prstGeom prst="rect">
                      <a:avLst/>
                    </a:prstGeom>
                  </pic:spPr>
                </pic:pic>
              </a:graphicData>
            </a:graphic>
          </wp:inline>
        </w:drawing>
      </w:r>
    </w:p>
    <w:p w14:paraId="6A8F9D9A">
      <w:pPr>
        <w:spacing w:line="480" w:lineRule="auto"/>
        <w:ind w:firstLine="0"/>
        <w:jc w:val="center"/>
      </w:pPr>
      <w:r>
        <w:rPr>
          <w:rFonts w:ascii="Times New Roman" w:hAnsi="Times New Roman" w:eastAsia="Times New Roman"/>
          <w:b w:val="0"/>
          <w:i w:val="0"/>
          <w:sz w:val="22"/>
        </w:rPr>
        <w:t>Fig. 5. Potomac test hydrograph excerpt (3-day ahead).</w:t>
      </w:r>
    </w:p>
    <w:p w14:paraId="6630558F">
      <w:pPr>
        <w:ind w:firstLine="0"/>
        <w:jc w:val="center"/>
      </w:pPr>
      <w:r>
        <w:drawing>
          <wp:inline distT="0" distB="0" distL="114300" distR="114300">
            <wp:extent cx="5303520" cy="1831975"/>
            <wp:effectExtent l="0" t="0" r="508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303520" cy="1832125"/>
                    </a:xfrm>
                    <a:prstGeom prst="rect">
                      <a:avLst/>
                    </a:prstGeom>
                  </pic:spPr>
                </pic:pic>
              </a:graphicData>
            </a:graphic>
          </wp:inline>
        </w:drawing>
      </w:r>
    </w:p>
    <w:p w14:paraId="01D17B74">
      <w:pPr>
        <w:spacing w:line="480" w:lineRule="auto"/>
        <w:ind w:firstLine="0"/>
        <w:jc w:val="center"/>
      </w:pPr>
      <w:r>
        <w:rPr>
          <w:rFonts w:ascii="Times New Roman" w:hAnsi="Times New Roman" w:eastAsia="Times New Roman"/>
          <w:b w:val="0"/>
          <w:i w:val="0"/>
          <w:sz w:val="22"/>
        </w:rPr>
        <w:t>Fig. 6. Potomac test hydrograph excerpt (7-day ahead).</w:t>
      </w:r>
    </w:p>
    <w:p w14:paraId="5C6E7AFC">
      <w:pPr>
        <w:spacing w:before="240" w:line="480" w:lineRule="auto"/>
        <w:ind w:firstLine="0"/>
        <w:jc w:val="left"/>
      </w:pPr>
      <w:r>
        <w:rPr>
          <w:rFonts w:ascii="Times New Roman" w:hAnsi="Times New Roman" w:eastAsia="Times New Roman"/>
          <w:b/>
          <w:i w:val="0"/>
          <w:sz w:val="24"/>
        </w:rPr>
        <w:t>4.2 Transfer to the James River</w:t>
      </w:r>
    </w:p>
    <w:p w14:paraId="07B55C4E">
      <w:pPr>
        <w:spacing w:line="480" w:lineRule="auto"/>
        <w:ind w:firstLine="480"/>
        <w:jc w:val="both"/>
      </w:pPr>
      <w:r>
        <w:rPr>
          <w:rFonts w:ascii="Times New Roman" w:hAnsi="Times New Roman" w:eastAsia="Times New Roman"/>
          <w:b w:val="0"/>
          <w:i w:val="0"/>
          <w:sz w:val="24"/>
        </w:rPr>
        <w:t>The same protocol on the James outlet yields 1-day routing NSE = 0.920 and XGBoost/Attention ≈ 0.939/0.933 (Fig. 7; Table 2). Upstream ablation ΔNSE at 1 day is 0.129 on James versus 0.020 on Potomac, indicating stronger near-term dependence on upstream gauges for the Richmond target. Patterns of horizon-dependent skill decay are shared across basins.</w:t>
      </w:r>
    </w:p>
    <w:p w14:paraId="5B32FF11">
      <w:pPr>
        <w:ind w:firstLine="0"/>
        <w:jc w:val="center"/>
      </w:pPr>
      <w:r>
        <w:drawing>
          <wp:inline distT="0" distB="0" distL="114300" distR="114300">
            <wp:extent cx="5303520" cy="1735455"/>
            <wp:effectExtent l="0" t="0" r="508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303520" cy="1735697"/>
                    </a:xfrm>
                    <a:prstGeom prst="rect">
                      <a:avLst/>
                    </a:prstGeom>
                  </pic:spPr>
                </pic:pic>
              </a:graphicData>
            </a:graphic>
          </wp:inline>
        </w:drawing>
      </w:r>
    </w:p>
    <w:p w14:paraId="04DAE40C">
      <w:pPr>
        <w:spacing w:line="480" w:lineRule="auto"/>
        <w:ind w:firstLine="0"/>
        <w:jc w:val="center"/>
      </w:pPr>
      <w:r>
        <w:rPr>
          <w:rFonts w:ascii="Times New Roman" w:hAnsi="Times New Roman" w:eastAsia="Times New Roman"/>
          <w:b w:val="0"/>
          <w:i w:val="0"/>
          <w:sz w:val="22"/>
        </w:rPr>
        <w:t>Fig. 7. Protocol transfer: Potomac versus James River test NSE.</w:t>
      </w:r>
    </w:p>
    <w:p w14:paraId="1BB4CAA9">
      <w:pPr>
        <w:spacing w:line="480" w:lineRule="auto"/>
        <w:ind w:firstLine="0"/>
        <w:jc w:val="center"/>
      </w:pPr>
      <w:r>
        <w:rPr>
          <w:rFonts w:ascii="Times New Roman" w:hAnsi="Times New Roman" w:eastAsia="Times New Roman"/>
          <w:b w:val="0"/>
          <w:i w:val="0"/>
          <w:sz w:val="22"/>
        </w:rPr>
        <w:t>Table 2. Test NSE by basin and horizon.</w:t>
      </w:r>
    </w:p>
    <w:tbl>
      <w:tblPr>
        <w:tblStyle w:val="32"/>
        <w:tblW w:w="0" w:type="auto"/>
        <w:tblInd w:w="0" w:type="dxa"/>
        <w:tblLayout w:type="autofit"/>
        <w:tblCellMar>
          <w:top w:w="0" w:type="dxa"/>
          <w:left w:w="108" w:type="dxa"/>
          <w:bottom w:w="0" w:type="dxa"/>
          <w:right w:w="108" w:type="dxa"/>
        </w:tblCellMar>
      </w:tblPr>
      <w:tblGrid>
        <w:gridCol w:w="1568"/>
        <w:gridCol w:w="1568"/>
        <w:gridCol w:w="1568"/>
        <w:gridCol w:w="1568"/>
        <w:gridCol w:w="1568"/>
        <w:gridCol w:w="1568"/>
      </w:tblGrid>
      <w:tr w14:paraId="517B6B0C">
        <w:tblPrEx>
          <w:tblCellMar>
            <w:top w:w="0" w:type="dxa"/>
            <w:left w:w="108" w:type="dxa"/>
            <w:bottom w:w="0" w:type="dxa"/>
            <w:right w:w="108" w:type="dxa"/>
          </w:tblCellMar>
        </w:tblPrEx>
        <w:tc>
          <w:tcPr>
            <w:tcW w:w="1568" w:type="dxa"/>
          </w:tcPr>
          <w:p w14:paraId="2FE49442">
            <w:r>
              <w:t>Basin</w:t>
            </w:r>
          </w:p>
        </w:tc>
        <w:tc>
          <w:tcPr>
            <w:tcW w:w="1568" w:type="dxa"/>
          </w:tcPr>
          <w:p w14:paraId="31353743">
            <w:r>
              <w:t>h (d)</w:t>
            </w:r>
          </w:p>
        </w:tc>
        <w:tc>
          <w:tcPr>
            <w:tcW w:w="1568" w:type="dxa"/>
          </w:tcPr>
          <w:p w14:paraId="6EF7D279">
            <w:r>
              <w:t>Pers.</w:t>
            </w:r>
          </w:p>
        </w:tc>
        <w:tc>
          <w:tcPr>
            <w:tcW w:w="1568" w:type="dxa"/>
          </w:tcPr>
          <w:p w14:paraId="339AA165">
            <w:r>
              <w:t>Routing</w:t>
            </w:r>
          </w:p>
        </w:tc>
        <w:tc>
          <w:tcPr>
            <w:tcW w:w="1568" w:type="dxa"/>
          </w:tcPr>
          <w:p w14:paraId="712AE066">
            <w:r>
              <w:t>XGB</w:t>
            </w:r>
          </w:p>
        </w:tc>
        <w:tc>
          <w:tcPr>
            <w:tcW w:w="1568" w:type="dxa"/>
          </w:tcPr>
          <w:p w14:paraId="0B54D782">
            <w:r>
              <w:t>Attn</w:t>
            </w:r>
          </w:p>
        </w:tc>
      </w:tr>
      <w:tr w14:paraId="3444C6EF">
        <w:tblPrEx>
          <w:tblCellMar>
            <w:top w:w="0" w:type="dxa"/>
            <w:left w:w="108" w:type="dxa"/>
            <w:bottom w:w="0" w:type="dxa"/>
            <w:right w:w="108" w:type="dxa"/>
          </w:tblCellMar>
        </w:tblPrEx>
        <w:tc>
          <w:tcPr>
            <w:tcW w:w="1568" w:type="dxa"/>
          </w:tcPr>
          <w:p w14:paraId="59CFE4D4">
            <w:r>
              <w:t>Potomac</w:t>
            </w:r>
          </w:p>
        </w:tc>
        <w:tc>
          <w:tcPr>
            <w:tcW w:w="1568" w:type="dxa"/>
          </w:tcPr>
          <w:p w14:paraId="3DA74CFC">
            <w:r>
              <w:t>1</w:t>
            </w:r>
          </w:p>
        </w:tc>
        <w:tc>
          <w:tcPr>
            <w:tcW w:w="1568" w:type="dxa"/>
          </w:tcPr>
          <w:p w14:paraId="5CDF3327">
            <w:r>
              <w:t>0.787</w:t>
            </w:r>
          </w:p>
        </w:tc>
        <w:tc>
          <w:tcPr>
            <w:tcW w:w="1568" w:type="dxa"/>
          </w:tcPr>
          <w:p w14:paraId="42824A58">
            <w:r>
              <w:t>0.861</w:t>
            </w:r>
          </w:p>
        </w:tc>
        <w:tc>
          <w:tcPr>
            <w:tcW w:w="1568" w:type="dxa"/>
          </w:tcPr>
          <w:p w14:paraId="010D7F1F">
            <w:r>
              <w:t>0.911</w:t>
            </w:r>
          </w:p>
        </w:tc>
        <w:tc>
          <w:tcPr>
            <w:tcW w:w="1568" w:type="dxa"/>
          </w:tcPr>
          <w:p w14:paraId="1926DBA3">
            <w:r>
              <w:t>0.930</w:t>
            </w:r>
          </w:p>
        </w:tc>
      </w:tr>
      <w:tr w14:paraId="4D4CCA30">
        <w:tblPrEx>
          <w:tblCellMar>
            <w:top w:w="0" w:type="dxa"/>
            <w:left w:w="108" w:type="dxa"/>
            <w:bottom w:w="0" w:type="dxa"/>
            <w:right w:w="108" w:type="dxa"/>
          </w:tblCellMar>
        </w:tblPrEx>
        <w:tc>
          <w:tcPr>
            <w:tcW w:w="1568" w:type="dxa"/>
          </w:tcPr>
          <w:p w14:paraId="65A9A519">
            <w:r>
              <w:t>Potomac</w:t>
            </w:r>
          </w:p>
        </w:tc>
        <w:tc>
          <w:tcPr>
            <w:tcW w:w="1568" w:type="dxa"/>
          </w:tcPr>
          <w:p w14:paraId="74BD574E">
            <w:r>
              <w:t>3</w:t>
            </w:r>
          </w:p>
        </w:tc>
        <w:tc>
          <w:tcPr>
            <w:tcW w:w="1568" w:type="dxa"/>
          </w:tcPr>
          <w:p w14:paraId="4BB8F043">
            <w:r>
              <w:t>0.164</w:t>
            </w:r>
          </w:p>
        </w:tc>
        <w:tc>
          <w:tcPr>
            <w:tcW w:w="1568" w:type="dxa"/>
          </w:tcPr>
          <w:p w14:paraId="7E47BD5D">
            <w:r>
              <w:t>0.380</w:t>
            </w:r>
          </w:p>
        </w:tc>
        <w:tc>
          <w:tcPr>
            <w:tcW w:w="1568" w:type="dxa"/>
          </w:tcPr>
          <w:p w14:paraId="7AC1671A">
            <w:r>
              <w:t>0.463</w:t>
            </w:r>
          </w:p>
        </w:tc>
        <w:tc>
          <w:tcPr>
            <w:tcW w:w="1568" w:type="dxa"/>
          </w:tcPr>
          <w:p w14:paraId="2968AA4A">
            <w:r>
              <w:t>0.426</w:t>
            </w:r>
          </w:p>
        </w:tc>
      </w:tr>
      <w:tr w14:paraId="14DC47A2">
        <w:tblPrEx>
          <w:tblCellMar>
            <w:top w:w="0" w:type="dxa"/>
            <w:left w:w="108" w:type="dxa"/>
            <w:bottom w:w="0" w:type="dxa"/>
            <w:right w:w="108" w:type="dxa"/>
          </w:tblCellMar>
        </w:tblPrEx>
        <w:tc>
          <w:tcPr>
            <w:tcW w:w="1568" w:type="dxa"/>
          </w:tcPr>
          <w:p w14:paraId="74C3AEBC">
            <w:r>
              <w:t>Potomac</w:t>
            </w:r>
          </w:p>
        </w:tc>
        <w:tc>
          <w:tcPr>
            <w:tcW w:w="1568" w:type="dxa"/>
          </w:tcPr>
          <w:p w14:paraId="52BC759A">
            <w:r>
              <w:t>7</w:t>
            </w:r>
          </w:p>
        </w:tc>
        <w:tc>
          <w:tcPr>
            <w:tcW w:w="1568" w:type="dxa"/>
          </w:tcPr>
          <w:p w14:paraId="03344A7E">
            <w:r>
              <w:t>-0.393</w:t>
            </w:r>
          </w:p>
        </w:tc>
        <w:tc>
          <w:tcPr>
            <w:tcW w:w="1568" w:type="dxa"/>
          </w:tcPr>
          <w:p w14:paraId="187D8BF5">
            <w:r>
              <w:t>0.072</w:t>
            </w:r>
          </w:p>
        </w:tc>
        <w:tc>
          <w:tcPr>
            <w:tcW w:w="1568" w:type="dxa"/>
          </w:tcPr>
          <w:p w14:paraId="294DBCDD">
            <w:r>
              <w:t>0.077</w:t>
            </w:r>
          </w:p>
        </w:tc>
        <w:tc>
          <w:tcPr>
            <w:tcW w:w="1568" w:type="dxa"/>
          </w:tcPr>
          <w:p w14:paraId="58002600">
            <w:r>
              <w:t>0.218</w:t>
            </w:r>
          </w:p>
        </w:tc>
      </w:tr>
      <w:tr w14:paraId="732B4331">
        <w:tblPrEx>
          <w:tblCellMar>
            <w:top w:w="0" w:type="dxa"/>
            <w:left w:w="108" w:type="dxa"/>
            <w:bottom w:w="0" w:type="dxa"/>
            <w:right w:w="108" w:type="dxa"/>
          </w:tblCellMar>
        </w:tblPrEx>
        <w:tc>
          <w:tcPr>
            <w:tcW w:w="1568" w:type="dxa"/>
          </w:tcPr>
          <w:p w14:paraId="5833BAF2">
            <w:r>
              <w:t>James</w:t>
            </w:r>
          </w:p>
        </w:tc>
        <w:tc>
          <w:tcPr>
            <w:tcW w:w="1568" w:type="dxa"/>
          </w:tcPr>
          <w:p w14:paraId="34B2D200">
            <w:r>
              <w:t>1</w:t>
            </w:r>
          </w:p>
        </w:tc>
        <w:tc>
          <w:tcPr>
            <w:tcW w:w="1568" w:type="dxa"/>
          </w:tcPr>
          <w:p w14:paraId="3E0477AB">
            <w:r>
              <w:t>0.773</w:t>
            </w:r>
          </w:p>
        </w:tc>
        <w:tc>
          <w:tcPr>
            <w:tcW w:w="1568" w:type="dxa"/>
          </w:tcPr>
          <w:p w14:paraId="1D04E1DF">
            <w:r>
              <w:t>0.920</w:t>
            </w:r>
          </w:p>
        </w:tc>
        <w:tc>
          <w:tcPr>
            <w:tcW w:w="1568" w:type="dxa"/>
          </w:tcPr>
          <w:p w14:paraId="14D1B0D3">
            <w:r>
              <w:t>0.939</w:t>
            </w:r>
          </w:p>
        </w:tc>
        <w:tc>
          <w:tcPr>
            <w:tcW w:w="1568" w:type="dxa"/>
          </w:tcPr>
          <w:p w14:paraId="239D355A">
            <w:r>
              <w:t>0.933</w:t>
            </w:r>
          </w:p>
        </w:tc>
      </w:tr>
      <w:tr w14:paraId="3A884234">
        <w:tblPrEx>
          <w:tblCellMar>
            <w:top w:w="0" w:type="dxa"/>
            <w:left w:w="108" w:type="dxa"/>
            <w:bottom w:w="0" w:type="dxa"/>
            <w:right w:w="108" w:type="dxa"/>
          </w:tblCellMar>
        </w:tblPrEx>
        <w:tc>
          <w:tcPr>
            <w:tcW w:w="1568" w:type="dxa"/>
          </w:tcPr>
          <w:p w14:paraId="4B63ABCA">
            <w:r>
              <w:t>James</w:t>
            </w:r>
          </w:p>
        </w:tc>
        <w:tc>
          <w:tcPr>
            <w:tcW w:w="1568" w:type="dxa"/>
          </w:tcPr>
          <w:p w14:paraId="720B182A">
            <w:r>
              <w:t>3</w:t>
            </w:r>
          </w:p>
        </w:tc>
        <w:tc>
          <w:tcPr>
            <w:tcW w:w="1568" w:type="dxa"/>
          </w:tcPr>
          <w:p w14:paraId="1829D711">
            <w:r>
              <w:t>0.293</w:t>
            </w:r>
          </w:p>
        </w:tc>
        <w:tc>
          <w:tcPr>
            <w:tcW w:w="1568" w:type="dxa"/>
          </w:tcPr>
          <w:p w14:paraId="5B289C52">
            <w:r>
              <w:t>0.435</w:t>
            </w:r>
          </w:p>
        </w:tc>
        <w:tc>
          <w:tcPr>
            <w:tcW w:w="1568" w:type="dxa"/>
          </w:tcPr>
          <w:p w14:paraId="5D673E67">
            <w:r>
              <w:t>0.496</w:t>
            </w:r>
          </w:p>
        </w:tc>
        <w:tc>
          <w:tcPr>
            <w:tcW w:w="1568" w:type="dxa"/>
          </w:tcPr>
          <w:p w14:paraId="225897E2">
            <w:r>
              <w:t>0.392</w:t>
            </w:r>
          </w:p>
        </w:tc>
      </w:tr>
      <w:tr w14:paraId="42C0EE45">
        <w:tblPrEx>
          <w:tblCellMar>
            <w:top w:w="0" w:type="dxa"/>
            <w:left w:w="108" w:type="dxa"/>
            <w:bottom w:w="0" w:type="dxa"/>
            <w:right w:w="108" w:type="dxa"/>
          </w:tblCellMar>
        </w:tblPrEx>
        <w:tc>
          <w:tcPr>
            <w:tcW w:w="1568" w:type="dxa"/>
          </w:tcPr>
          <w:p w14:paraId="0B435B68">
            <w:r>
              <w:t>James</w:t>
            </w:r>
          </w:p>
        </w:tc>
        <w:tc>
          <w:tcPr>
            <w:tcW w:w="1568" w:type="dxa"/>
          </w:tcPr>
          <w:p w14:paraId="21E4C328">
            <w:r>
              <w:t>7</w:t>
            </w:r>
          </w:p>
        </w:tc>
        <w:tc>
          <w:tcPr>
            <w:tcW w:w="1568" w:type="dxa"/>
          </w:tcPr>
          <w:p w14:paraId="137759B0">
            <w:r>
              <w:t>-0.052</w:t>
            </w:r>
          </w:p>
        </w:tc>
        <w:tc>
          <w:tcPr>
            <w:tcW w:w="1568" w:type="dxa"/>
          </w:tcPr>
          <w:p w14:paraId="633622AB">
            <w:r>
              <w:t>0.235</w:t>
            </w:r>
          </w:p>
        </w:tc>
        <w:tc>
          <w:tcPr>
            <w:tcW w:w="1568" w:type="dxa"/>
          </w:tcPr>
          <w:p w14:paraId="1D77438E">
            <w:r>
              <w:t>0.292</w:t>
            </w:r>
          </w:p>
        </w:tc>
        <w:tc>
          <w:tcPr>
            <w:tcW w:w="1568" w:type="dxa"/>
          </w:tcPr>
          <w:p w14:paraId="43352BB2">
            <w:r>
              <w:t>0.309</w:t>
            </w:r>
          </w:p>
        </w:tc>
      </w:tr>
    </w:tbl>
    <w:p w14:paraId="75B47271">
      <w:pPr>
        <w:spacing w:line="480" w:lineRule="auto"/>
        <w:ind w:firstLine="0"/>
        <w:jc w:val="center"/>
      </w:pPr>
      <w:r>
        <w:rPr>
          <w:rFonts w:ascii="Times New Roman" w:hAnsi="Times New Roman" w:eastAsia="Times New Roman"/>
          <w:b w:val="0"/>
          <w:i w:val="0"/>
          <w:sz w:val="22"/>
        </w:rPr>
        <w:t>Table 3. Upstream ablation ΔNSE for LSTM-Attention (full minus local-only).</w:t>
      </w:r>
    </w:p>
    <w:tbl>
      <w:tblPr>
        <w:tblStyle w:val="32"/>
        <w:tblW w:w="0" w:type="auto"/>
        <w:tblInd w:w="0" w:type="dxa"/>
        <w:tblLayout w:type="autofit"/>
        <w:tblCellMar>
          <w:top w:w="0" w:type="dxa"/>
          <w:left w:w="108" w:type="dxa"/>
          <w:bottom w:w="0" w:type="dxa"/>
          <w:right w:w="108" w:type="dxa"/>
        </w:tblCellMar>
      </w:tblPr>
      <w:tblGrid>
        <w:gridCol w:w="2351"/>
        <w:gridCol w:w="2351"/>
        <w:gridCol w:w="2351"/>
        <w:gridCol w:w="2351"/>
      </w:tblGrid>
      <w:tr w14:paraId="7C10E914">
        <w:tblPrEx>
          <w:tblCellMar>
            <w:top w:w="0" w:type="dxa"/>
            <w:left w:w="108" w:type="dxa"/>
            <w:bottom w:w="0" w:type="dxa"/>
            <w:right w:w="108" w:type="dxa"/>
          </w:tblCellMar>
        </w:tblPrEx>
        <w:tc>
          <w:tcPr>
            <w:tcW w:w="2351" w:type="dxa"/>
          </w:tcPr>
          <w:p w14:paraId="6F3395EA">
            <w:r>
              <w:t>Basin</w:t>
            </w:r>
          </w:p>
        </w:tc>
        <w:tc>
          <w:tcPr>
            <w:tcW w:w="2351" w:type="dxa"/>
          </w:tcPr>
          <w:p w14:paraId="47D4C83B">
            <w:r>
              <w:t>h (d)</w:t>
            </w:r>
          </w:p>
        </w:tc>
        <w:tc>
          <w:tcPr>
            <w:tcW w:w="2351" w:type="dxa"/>
          </w:tcPr>
          <w:p w14:paraId="58C4A2BE">
            <w:r>
              <w:t>Full NSE</w:t>
            </w:r>
          </w:p>
        </w:tc>
        <w:tc>
          <w:tcPr>
            <w:tcW w:w="2351" w:type="dxa"/>
          </w:tcPr>
          <w:p w14:paraId="40B07DCD">
            <w:r>
              <w:t>ΔNSE (full−local)</w:t>
            </w:r>
          </w:p>
        </w:tc>
      </w:tr>
      <w:tr w14:paraId="4B994D4C">
        <w:tblPrEx>
          <w:tblCellMar>
            <w:top w:w="0" w:type="dxa"/>
            <w:left w:w="108" w:type="dxa"/>
            <w:bottom w:w="0" w:type="dxa"/>
            <w:right w:w="108" w:type="dxa"/>
          </w:tblCellMar>
        </w:tblPrEx>
        <w:tc>
          <w:tcPr>
            <w:tcW w:w="2351" w:type="dxa"/>
          </w:tcPr>
          <w:p w14:paraId="4BEAD592">
            <w:r>
              <w:t>Potomac</w:t>
            </w:r>
          </w:p>
        </w:tc>
        <w:tc>
          <w:tcPr>
            <w:tcW w:w="2351" w:type="dxa"/>
          </w:tcPr>
          <w:p w14:paraId="711B715D">
            <w:r>
              <w:t>1</w:t>
            </w:r>
          </w:p>
        </w:tc>
        <w:tc>
          <w:tcPr>
            <w:tcW w:w="2351" w:type="dxa"/>
          </w:tcPr>
          <w:p w14:paraId="0D6DB354">
            <w:r>
              <w:t>0.926</w:t>
            </w:r>
          </w:p>
        </w:tc>
        <w:tc>
          <w:tcPr>
            <w:tcW w:w="2351" w:type="dxa"/>
          </w:tcPr>
          <w:p w14:paraId="70A6EA36">
            <w:r>
              <w:t>0.020</w:t>
            </w:r>
          </w:p>
        </w:tc>
      </w:tr>
      <w:tr w14:paraId="2AC37C93">
        <w:tblPrEx>
          <w:tblCellMar>
            <w:top w:w="0" w:type="dxa"/>
            <w:left w:w="108" w:type="dxa"/>
            <w:bottom w:w="0" w:type="dxa"/>
            <w:right w:w="108" w:type="dxa"/>
          </w:tblCellMar>
        </w:tblPrEx>
        <w:tc>
          <w:tcPr>
            <w:tcW w:w="2351" w:type="dxa"/>
          </w:tcPr>
          <w:p w14:paraId="668392B5">
            <w:r>
              <w:t>Potomac</w:t>
            </w:r>
          </w:p>
        </w:tc>
        <w:tc>
          <w:tcPr>
            <w:tcW w:w="2351" w:type="dxa"/>
          </w:tcPr>
          <w:p w14:paraId="54471CB9">
            <w:r>
              <w:t>3</w:t>
            </w:r>
          </w:p>
        </w:tc>
        <w:tc>
          <w:tcPr>
            <w:tcW w:w="2351" w:type="dxa"/>
          </w:tcPr>
          <w:p w14:paraId="62E3066C">
            <w:r>
              <w:t>0.426</w:t>
            </w:r>
          </w:p>
        </w:tc>
        <w:tc>
          <w:tcPr>
            <w:tcW w:w="2351" w:type="dxa"/>
          </w:tcPr>
          <w:p w14:paraId="515D3BA3">
            <w:r>
              <w:t>0.091</w:t>
            </w:r>
          </w:p>
        </w:tc>
      </w:tr>
      <w:tr w14:paraId="1E5AC143">
        <w:tblPrEx>
          <w:tblCellMar>
            <w:top w:w="0" w:type="dxa"/>
            <w:left w:w="108" w:type="dxa"/>
            <w:bottom w:w="0" w:type="dxa"/>
            <w:right w:w="108" w:type="dxa"/>
          </w:tblCellMar>
        </w:tblPrEx>
        <w:tc>
          <w:tcPr>
            <w:tcW w:w="2351" w:type="dxa"/>
          </w:tcPr>
          <w:p w14:paraId="6619A138">
            <w:r>
              <w:t>Potomac</w:t>
            </w:r>
          </w:p>
        </w:tc>
        <w:tc>
          <w:tcPr>
            <w:tcW w:w="2351" w:type="dxa"/>
          </w:tcPr>
          <w:p w14:paraId="1D08B23F">
            <w:r>
              <w:t>7</w:t>
            </w:r>
          </w:p>
        </w:tc>
        <w:tc>
          <w:tcPr>
            <w:tcW w:w="2351" w:type="dxa"/>
          </w:tcPr>
          <w:p w14:paraId="7AA4F804">
            <w:r>
              <w:t>0.218</w:t>
            </w:r>
          </w:p>
        </w:tc>
        <w:tc>
          <w:tcPr>
            <w:tcW w:w="2351" w:type="dxa"/>
          </w:tcPr>
          <w:p w14:paraId="126F8B94">
            <w:r>
              <w:t>0.285</w:t>
            </w:r>
          </w:p>
        </w:tc>
      </w:tr>
      <w:tr w14:paraId="5C39F63D">
        <w:tblPrEx>
          <w:tblCellMar>
            <w:top w:w="0" w:type="dxa"/>
            <w:left w:w="108" w:type="dxa"/>
            <w:bottom w:w="0" w:type="dxa"/>
            <w:right w:w="108" w:type="dxa"/>
          </w:tblCellMar>
        </w:tblPrEx>
        <w:tc>
          <w:tcPr>
            <w:tcW w:w="2351" w:type="dxa"/>
          </w:tcPr>
          <w:p w14:paraId="6DF99730">
            <w:r>
              <w:t>James</w:t>
            </w:r>
          </w:p>
        </w:tc>
        <w:tc>
          <w:tcPr>
            <w:tcW w:w="2351" w:type="dxa"/>
          </w:tcPr>
          <w:p w14:paraId="1FD70C5A">
            <w:r>
              <w:t>1</w:t>
            </w:r>
          </w:p>
        </w:tc>
        <w:tc>
          <w:tcPr>
            <w:tcW w:w="2351" w:type="dxa"/>
          </w:tcPr>
          <w:p w14:paraId="36BDAB42">
            <w:r>
              <w:t>0.933</w:t>
            </w:r>
          </w:p>
        </w:tc>
        <w:tc>
          <w:tcPr>
            <w:tcW w:w="2351" w:type="dxa"/>
          </w:tcPr>
          <w:p w14:paraId="3C9F359D">
            <w:r>
              <w:t>0.129</w:t>
            </w:r>
          </w:p>
        </w:tc>
      </w:tr>
      <w:tr w14:paraId="7AF12697">
        <w:tblPrEx>
          <w:tblCellMar>
            <w:top w:w="0" w:type="dxa"/>
            <w:left w:w="108" w:type="dxa"/>
            <w:bottom w:w="0" w:type="dxa"/>
            <w:right w:w="108" w:type="dxa"/>
          </w:tblCellMar>
        </w:tblPrEx>
        <w:tc>
          <w:tcPr>
            <w:tcW w:w="2351" w:type="dxa"/>
          </w:tcPr>
          <w:p w14:paraId="57479873">
            <w:r>
              <w:t>James</w:t>
            </w:r>
          </w:p>
        </w:tc>
        <w:tc>
          <w:tcPr>
            <w:tcW w:w="2351" w:type="dxa"/>
          </w:tcPr>
          <w:p w14:paraId="24C04302">
            <w:r>
              <w:t>3</w:t>
            </w:r>
          </w:p>
        </w:tc>
        <w:tc>
          <w:tcPr>
            <w:tcW w:w="2351" w:type="dxa"/>
          </w:tcPr>
          <w:p w14:paraId="6C18DD1E">
            <w:r>
              <w:t>0.392</w:t>
            </w:r>
          </w:p>
        </w:tc>
        <w:tc>
          <w:tcPr>
            <w:tcW w:w="2351" w:type="dxa"/>
          </w:tcPr>
          <w:p w14:paraId="12B7870A">
            <w:r>
              <w:t>0.090</w:t>
            </w:r>
          </w:p>
        </w:tc>
      </w:tr>
      <w:tr w14:paraId="7C0F721D">
        <w:tblPrEx>
          <w:tblCellMar>
            <w:top w:w="0" w:type="dxa"/>
            <w:left w:w="108" w:type="dxa"/>
            <w:bottom w:w="0" w:type="dxa"/>
            <w:right w:w="108" w:type="dxa"/>
          </w:tblCellMar>
        </w:tblPrEx>
        <w:tc>
          <w:tcPr>
            <w:tcW w:w="2351" w:type="dxa"/>
          </w:tcPr>
          <w:p w14:paraId="705B3D6C">
            <w:r>
              <w:t>James</w:t>
            </w:r>
          </w:p>
        </w:tc>
        <w:tc>
          <w:tcPr>
            <w:tcW w:w="2351" w:type="dxa"/>
          </w:tcPr>
          <w:p w14:paraId="57E808DB">
            <w:r>
              <w:t>7</w:t>
            </w:r>
          </w:p>
        </w:tc>
        <w:tc>
          <w:tcPr>
            <w:tcW w:w="2351" w:type="dxa"/>
          </w:tcPr>
          <w:p w14:paraId="56B2CB08">
            <w:r>
              <w:t>0.309</w:t>
            </w:r>
          </w:p>
        </w:tc>
        <w:tc>
          <w:tcPr>
            <w:tcW w:w="2351" w:type="dxa"/>
          </w:tcPr>
          <w:p w14:paraId="0ED1041C">
            <w:r>
              <w:t>0.011</w:t>
            </w:r>
          </w:p>
        </w:tc>
      </w:tr>
    </w:tbl>
    <w:p w14:paraId="6C4C466A">
      <w:pPr>
        <w:spacing w:before="240" w:line="480" w:lineRule="auto"/>
        <w:ind w:firstLine="0"/>
        <w:jc w:val="left"/>
      </w:pPr>
      <w:r>
        <w:rPr>
          <w:rFonts w:ascii="Times New Roman" w:hAnsi="Times New Roman" w:eastAsia="Times New Roman"/>
          <w:b/>
          <w:i w:val="0"/>
          <w:sz w:val="24"/>
        </w:rPr>
        <w:t>4.3 Precipitation foresight: oracle ceiling and real GFS QPF</w:t>
      </w:r>
    </w:p>
    <w:p w14:paraId="466F018E">
      <w:pPr>
        <w:spacing w:line="480" w:lineRule="auto"/>
        <w:ind w:firstLine="480"/>
        <w:jc w:val="both"/>
      </w:pPr>
      <w:r>
        <w:rPr>
          <w:rFonts w:ascii="Times New Roman" w:hAnsi="Times New Roman" w:eastAsia="Times New Roman"/>
          <w:b w:val="0"/>
          <w:i w:val="0"/>
          <w:sz w:val="24"/>
        </w:rPr>
        <w:t>On the 2021–2023 Potomac window, perfect-foresight precipitation leaves 1-day NSE nearly unchanged (ΔNSE ≈ -0.001) but raises 3-day and 7-day NSE by 0.121 and 0.196, respectively (Fig. 8). Thus weekly observation-only forecasts are information-limited.</w:t>
      </w:r>
    </w:p>
    <w:p w14:paraId="6D5CD505">
      <w:pPr>
        <w:ind w:firstLine="0"/>
        <w:jc w:val="center"/>
      </w:pPr>
      <w:r>
        <w:drawing>
          <wp:inline distT="0" distB="0" distL="114300" distR="114300">
            <wp:extent cx="5303520" cy="2946400"/>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303520" cy="2946400"/>
                    </a:xfrm>
                    <a:prstGeom prst="rect">
                      <a:avLst/>
                    </a:prstGeom>
                  </pic:spPr>
                </pic:pic>
              </a:graphicData>
            </a:graphic>
          </wp:inline>
        </w:drawing>
      </w:r>
    </w:p>
    <w:p w14:paraId="6CFFF96D">
      <w:pPr>
        <w:spacing w:line="480" w:lineRule="auto"/>
        <w:ind w:firstLine="0"/>
        <w:jc w:val="center"/>
      </w:pPr>
      <w:r>
        <w:rPr>
          <w:rFonts w:ascii="Times New Roman" w:hAnsi="Times New Roman" w:eastAsia="Times New Roman"/>
          <w:b w:val="0"/>
          <w:i w:val="0"/>
          <w:sz w:val="22"/>
        </w:rPr>
        <w:t>Fig. 8. Oracle precipitation ceiling for Potomac LSTM-Attention (2021–2023 test).</w:t>
      </w:r>
    </w:p>
    <w:p w14:paraId="56887221">
      <w:pPr>
        <w:spacing w:line="480" w:lineRule="auto"/>
        <w:ind w:firstLine="480"/>
        <w:jc w:val="both"/>
      </w:pPr>
      <w:r>
        <w:rPr>
          <w:rFonts w:ascii="Times New Roman" w:hAnsi="Times New Roman" w:eastAsia="Times New Roman"/>
          <w:b w:val="0"/>
          <w:i w:val="0"/>
          <w:sz w:val="24"/>
        </w:rPr>
        <w:t>For 2024, GFS previous-run daily precip correlates with observations at r = 0.49 (1-day lead) and r = 0.60 (3-day lead). In streamflow mode, real QPF raises 1-day Attention NSE from 0.893 (obs-only) to 0.923, approaching the oracle (0.926). At 3 days, however, uncorrected QPF ingestion can degrade skill (-0.035) relative to obs-only (0.406), while oracle remains highest (0.577) (Fig. 9; Table 4). This cautions against treating raw QPF as a drop-in feature without bias-aware training.</w:t>
      </w:r>
    </w:p>
    <w:p w14:paraId="42DCB2A4">
      <w:pPr>
        <w:ind w:firstLine="0"/>
        <w:jc w:val="center"/>
      </w:pPr>
      <w:r>
        <w:drawing>
          <wp:inline distT="0" distB="0" distL="114300" distR="114300">
            <wp:extent cx="5303520" cy="2828290"/>
            <wp:effectExtent l="0" t="0" r="508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303520" cy="2828544"/>
                    </a:xfrm>
                    <a:prstGeom prst="rect">
                      <a:avLst/>
                    </a:prstGeom>
                  </pic:spPr>
                </pic:pic>
              </a:graphicData>
            </a:graphic>
          </wp:inline>
        </w:drawing>
      </w:r>
    </w:p>
    <w:p w14:paraId="273614AF">
      <w:pPr>
        <w:spacing w:line="480" w:lineRule="auto"/>
        <w:ind w:firstLine="0"/>
        <w:jc w:val="center"/>
      </w:pPr>
      <w:r>
        <w:rPr>
          <w:rFonts w:ascii="Times New Roman" w:hAnsi="Times New Roman" w:eastAsia="Times New Roman"/>
          <w:b w:val="0"/>
          <w:i w:val="0"/>
          <w:sz w:val="22"/>
        </w:rPr>
        <w:t>Fig. 9. Potomac 2024 NSE ladder: obs-only, precip persistence, real GFS QPF, oracle.</w:t>
      </w:r>
    </w:p>
    <w:p w14:paraId="1E4B0FD2">
      <w:pPr>
        <w:spacing w:line="480" w:lineRule="auto"/>
        <w:ind w:firstLine="0"/>
        <w:jc w:val="center"/>
      </w:pPr>
      <w:r>
        <w:rPr>
          <w:rFonts w:ascii="Times New Roman" w:hAnsi="Times New Roman" w:eastAsia="Times New Roman"/>
          <w:b w:val="0"/>
          <w:i w:val="0"/>
          <w:sz w:val="22"/>
        </w:rPr>
        <w:t>Table 4. Potomac 2024 Attention NSE under precip foresight options.</w:t>
      </w:r>
    </w:p>
    <w:tbl>
      <w:tblPr>
        <w:tblStyle w:val="32"/>
        <w:tblW w:w="0" w:type="auto"/>
        <w:tblInd w:w="0" w:type="dxa"/>
        <w:tblLayout w:type="autofit"/>
        <w:tblCellMar>
          <w:top w:w="0" w:type="dxa"/>
          <w:left w:w="108" w:type="dxa"/>
          <w:bottom w:w="0" w:type="dxa"/>
          <w:right w:w="108" w:type="dxa"/>
        </w:tblCellMar>
      </w:tblPr>
      <w:tblGrid>
        <w:gridCol w:w="1881"/>
        <w:gridCol w:w="1881"/>
        <w:gridCol w:w="1881"/>
        <w:gridCol w:w="1881"/>
        <w:gridCol w:w="1881"/>
      </w:tblGrid>
      <w:tr w14:paraId="2439CF9B">
        <w:tblPrEx>
          <w:tblCellMar>
            <w:top w:w="0" w:type="dxa"/>
            <w:left w:w="108" w:type="dxa"/>
            <w:bottom w:w="0" w:type="dxa"/>
            <w:right w:w="108" w:type="dxa"/>
          </w:tblCellMar>
        </w:tblPrEx>
        <w:tc>
          <w:tcPr>
            <w:tcW w:w="1881" w:type="dxa"/>
          </w:tcPr>
          <w:p w14:paraId="74E1867A">
            <w:r>
              <w:t>h (d)</w:t>
            </w:r>
          </w:p>
        </w:tc>
        <w:tc>
          <w:tcPr>
            <w:tcW w:w="1881" w:type="dxa"/>
          </w:tcPr>
          <w:p w14:paraId="57CFB028">
            <w:r>
              <w:t>Obs-only</w:t>
            </w:r>
          </w:p>
        </w:tc>
        <w:tc>
          <w:tcPr>
            <w:tcW w:w="1881" w:type="dxa"/>
          </w:tcPr>
          <w:p w14:paraId="21631DC4">
            <w:r>
              <w:t>Persist P</w:t>
            </w:r>
          </w:p>
        </w:tc>
        <w:tc>
          <w:tcPr>
            <w:tcW w:w="1881" w:type="dxa"/>
          </w:tcPr>
          <w:p w14:paraId="2C1F4474">
            <w:r>
              <w:t>GFS QPF</w:t>
            </w:r>
          </w:p>
        </w:tc>
        <w:tc>
          <w:tcPr>
            <w:tcW w:w="1881" w:type="dxa"/>
          </w:tcPr>
          <w:p w14:paraId="11852A25">
            <w:r>
              <w:t>Oracle</w:t>
            </w:r>
          </w:p>
        </w:tc>
      </w:tr>
      <w:tr w14:paraId="12395096">
        <w:tblPrEx>
          <w:tblCellMar>
            <w:top w:w="0" w:type="dxa"/>
            <w:left w:w="108" w:type="dxa"/>
            <w:bottom w:w="0" w:type="dxa"/>
            <w:right w:w="108" w:type="dxa"/>
          </w:tblCellMar>
        </w:tblPrEx>
        <w:tc>
          <w:tcPr>
            <w:tcW w:w="1881" w:type="dxa"/>
          </w:tcPr>
          <w:p w14:paraId="687717E3">
            <w:r>
              <w:t>1</w:t>
            </w:r>
          </w:p>
        </w:tc>
        <w:tc>
          <w:tcPr>
            <w:tcW w:w="1881" w:type="dxa"/>
          </w:tcPr>
          <w:p w14:paraId="5195907A">
            <w:r>
              <w:t>0.893</w:t>
            </w:r>
          </w:p>
        </w:tc>
        <w:tc>
          <w:tcPr>
            <w:tcW w:w="1881" w:type="dxa"/>
          </w:tcPr>
          <w:p w14:paraId="4BF2D2AC">
            <w:r>
              <w:t>0.939</w:t>
            </w:r>
          </w:p>
        </w:tc>
        <w:tc>
          <w:tcPr>
            <w:tcW w:w="1881" w:type="dxa"/>
          </w:tcPr>
          <w:p w14:paraId="2AB6F299">
            <w:r>
              <w:t>0.923</w:t>
            </w:r>
          </w:p>
        </w:tc>
        <w:tc>
          <w:tcPr>
            <w:tcW w:w="1881" w:type="dxa"/>
          </w:tcPr>
          <w:p w14:paraId="1EFF283B">
            <w:r>
              <w:t>0.926</w:t>
            </w:r>
          </w:p>
        </w:tc>
      </w:tr>
      <w:tr w14:paraId="4D318518">
        <w:tblPrEx>
          <w:tblCellMar>
            <w:top w:w="0" w:type="dxa"/>
            <w:left w:w="108" w:type="dxa"/>
            <w:bottom w:w="0" w:type="dxa"/>
            <w:right w:w="108" w:type="dxa"/>
          </w:tblCellMar>
        </w:tblPrEx>
        <w:tc>
          <w:tcPr>
            <w:tcW w:w="1881" w:type="dxa"/>
          </w:tcPr>
          <w:p w14:paraId="468BCEA5">
            <w:r>
              <w:t>3</w:t>
            </w:r>
          </w:p>
        </w:tc>
        <w:tc>
          <w:tcPr>
            <w:tcW w:w="1881" w:type="dxa"/>
          </w:tcPr>
          <w:p w14:paraId="3E72A503">
            <w:r>
              <w:t>0.406</w:t>
            </w:r>
          </w:p>
        </w:tc>
        <w:tc>
          <w:tcPr>
            <w:tcW w:w="1881" w:type="dxa"/>
          </w:tcPr>
          <w:p w14:paraId="2703A402">
            <w:r>
              <w:t>0.340</w:t>
            </w:r>
          </w:p>
        </w:tc>
        <w:tc>
          <w:tcPr>
            <w:tcW w:w="1881" w:type="dxa"/>
          </w:tcPr>
          <w:p w14:paraId="6FD1BAC6">
            <w:r>
              <w:t>-0.035</w:t>
            </w:r>
          </w:p>
        </w:tc>
        <w:tc>
          <w:tcPr>
            <w:tcW w:w="1881" w:type="dxa"/>
          </w:tcPr>
          <w:p w14:paraId="54C81819">
            <w:r>
              <w:t>0.577</w:t>
            </w:r>
          </w:p>
        </w:tc>
      </w:tr>
      <w:tr w14:paraId="3A05B8C3">
        <w:tblPrEx>
          <w:tblCellMar>
            <w:top w:w="0" w:type="dxa"/>
            <w:left w:w="108" w:type="dxa"/>
            <w:bottom w:w="0" w:type="dxa"/>
            <w:right w:w="108" w:type="dxa"/>
          </w:tblCellMar>
        </w:tblPrEx>
        <w:tc>
          <w:tcPr>
            <w:tcW w:w="1881" w:type="dxa"/>
          </w:tcPr>
          <w:p w14:paraId="76FD377A">
            <w:r>
              <w:t>7</w:t>
            </w:r>
          </w:p>
        </w:tc>
        <w:tc>
          <w:tcPr>
            <w:tcW w:w="1881" w:type="dxa"/>
          </w:tcPr>
          <w:p w14:paraId="306E1C60">
            <w:r>
              <w:t>0.094</w:t>
            </w:r>
          </w:p>
        </w:tc>
        <w:tc>
          <w:tcPr>
            <w:tcW w:w="1881" w:type="dxa"/>
          </w:tcPr>
          <w:p w14:paraId="4FF507B2">
            <w:r>
              <w:t>0.228</w:t>
            </w:r>
          </w:p>
        </w:tc>
        <w:tc>
          <w:tcPr>
            <w:tcW w:w="1881" w:type="dxa"/>
          </w:tcPr>
          <w:p w14:paraId="266A61A2">
            <w:r>
              <w:t>0.228</w:t>
            </w:r>
          </w:p>
        </w:tc>
        <w:tc>
          <w:tcPr>
            <w:tcW w:w="1881" w:type="dxa"/>
          </w:tcPr>
          <w:p w14:paraId="09D4185D">
            <w:r>
              <w:t>0.450</w:t>
            </w:r>
          </w:p>
        </w:tc>
      </w:tr>
    </w:tbl>
    <w:p w14:paraId="7900F263">
      <w:pPr>
        <w:spacing w:before="240" w:line="480" w:lineRule="auto"/>
        <w:ind w:firstLine="0"/>
        <w:jc w:val="left"/>
      </w:pPr>
      <w:r>
        <w:rPr>
          <w:rFonts w:ascii="Times New Roman" w:hAnsi="Times New Roman" w:eastAsia="Times New Roman"/>
          <w:b/>
          <w:i w:val="0"/>
          <w:sz w:val="24"/>
        </w:rPr>
        <w:t>4.4 Flood-threshold, seasonal skill, uncertainty and interpretability</w:t>
      </w:r>
    </w:p>
    <w:p w14:paraId="1D824193">
      <w:pPr>
        <w:spacing w:line="480" w:lineRule="auto"/>
        <w:ind w:firstLine="480"/>
        <w:jc w:val="both"/>
      </w:pPr>
      <w:r>
        <w:rPr>
          <w:rFonts w:ascii="Times New Roman" w:hAnsi="Times New Roman" w:eastAsia="Times New Roman"/>
          <w:b w:val="0"/>
          <w:i w:val="0"/>
          <w:sz w:val="24"/>
        </w:rPr>
        <w:t>Using Potomac training P90, 1-day Attention CSI = 0.75 (POD = 0.85, FAR = 0.13), exceeding routing CSI = 0.62 (Fig. 10; Table 5). CSI collapses at weekly lead times under observation-only forcing. Seasonal NSE panels (Figs. 11–13), multi-seed uncertainty bands (Figs. 14–15), permutation importance (Fig. 16) and the weekly scatter plot (Fig. 17) provide supporting diagnostics.</w:t>
      </w:r>
    </w:p>
    <w:p w14:paraId="4A811593">
      <w:pPr>
        <w:ind w:firstLine="0"/>
        <w:jc w:val="center"/>
      </w:pPr>
      <w:r>
        <w:drawing>
          <wp:inline distT="0" distB="0" distL="114300" distR="114300">
            <wp:extent cx="5303520" cy="2946400"/>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303520" cy="2946400"/>
                    </a:xfrm>
                    <a:prstGeom prst="rect">
                      <a:avLst/>
                    </a:prstGeom>
                  </pic:spPr>
                </pic:pic>
              </a:graphicData>
            </a:graphic>
          </wp:inline>
        </w:drawing>
      </w:r>
    </w:p>
    <w:p w14:paraId="2B632FDB">
      <w:pPr>
        <w:spacing w:line="480" w:lineRule="auto"/>
        <w:ind w:firstLine="0"/>
        <w:jc w:val="center"/>
      </w:pPr>
      <w:r>
        <w:rPr>
          <w:rFonts w:ascii="Times New Roman" w:hAnsi="Times New Roman" w:eastAsia="Times New Roman"/>
          <w:b w:val="0"/>
          <w:i w:val="0"/>
          <w:sz w:val="22"/>
        </w:rPr>
        <w:t>Fig. 10. Potomac P90 flood-threshold critical success index.</w:t>
      </w:r>
    </w:p>
    <w:p w14:paraId="1CAF28ED">
      <w:pPr>
        <w:spacing w:line="480" w:lineRule="auto"/>
        <w:ind w:firstLine="0"/>
        <w:jc w:val="center"/>
      </w:pPr>
      <w:r>
        <w:rPr>
          <w:rFonts w:ascii="Times New Roman" w:hAnsi="Times New Roman" w:eastAsia="Times New Roman"/>
          <w:b w:val="0"/>
          <w:i w:val="0"/>
          <w:sz w:val="22"/>
        </w:rPr>
        <w:t>Table 5. Potomac P90 flood-threshold CSI.</w:t>
      </w:r>
    </w:p>
    <w:tbl>
      <w:tblPr>
        <w:tblStyle w:val="32"/>
        <w:tblW w:w="0" w:type="auto"/>
        <w:tblInd w:w="0" w:type="dxa"/>
        <w:tblLayout w:type="autofit"/>
        <w:tblCellMar>
          <w:top w:w="0" w:type="dxa"/>
          <w:left w:w="108" w:type="dxa"/>
          <w:bottom w:w="0" w:type="dxa"/>
          <w:right w:w="108" w:type="dxa"/>
        </w:tblCellMar>
      </w:tblPr>
      <w:tblGrid>
        <w:gridCol w:w="2351"/>
        <w:gridCol w:w="2351"/>
        <w:gridCol w:w="2351"/>
        <w:gridCol w:w="2351"/>
      </w:tblGrid>
      <w:tr w14:paraId="0357489A">
        <w:tblPrEx>
          <w:tblCellMar>
            <w:top w:w="0" w:type="dxa"/>
            <w:left w:w="108" w:type="dxa"/>
            <w:bottom w:w="0" w:type="dxa"/>
            <w:right w:w="108" w:type="dxa"/>
          </w:tblCellMar>
        </w:tblPrEx>
        <w:tc>
          <w:tcPr>
            <w:tcW w:w="2351" w:type="dxa"/>
          </w:tcPr>
          <w:p w14:paraId="39A4F76C">
            <w:r>
              <w:t>h (d)</w:t>
            </w:r>
          </w:p>
        </w:tc>
        <w:tc>
          <w:tcPr>
            <w:tcW w:w="2351" w:type="dxa"/>
          </w:tcPr>
          <w:p w14:paraId="097381FD">
            <w:r>
              <w:t>Routing CSI</w:t>
            </w:r>
          </w:p>
        </w:tc>
        <w:tc>
          <w:tcPr>
            <w:tcW w:w="2351" w:type="dxa"/>
          </w:tcPr>
          <w:p w14:paraId="2F3B782C">
            <w:r>
              <w:t>XGB CSI</w:t>
            </w:r>
          </w:p>
        </w:tc>
        <w:tc>
          <w:tcPr>
            <w:tcW w:w="2351" w:type="dxa"/>
          </w:tcPr>
          <w:p w14:paraId="68AC7D74">
            <w:r>
              <w:t>Attn CSI</w:t>
            </w:r>
          </w:p>
        </w:tc>
      </w:tr>
      <w:tr w14:paraId="1275C304">
        <w:tblPrEx>
          <w:tblCellMar>
            <w:top w:w="0" w:type="dxa"/>
            <w:left w:w="108" w:type="dxa"/>
            <w:bottom w:w="0" w:type="dxa"/>
            <w:right w:w="108" w:type="dxa"/>
          </w:tblCellMar>
        </w:tblPrEx>
        <w:tc>
          <w:tcPr>
            <w:tcW w:w="2351" w:type="dxa"/>
          </w:tcPr>
          <w:p w14:paraId="26B6B263">
            <w:r>
              <w:t>1</w:t>
            </w:r>
          </w:p>
        </w:tc>
        <w:tc>
          <w:tcPr>
            <w:tcW w:w="2351" w:type="dxa"/>
          </w:tcPr>
          <w:p w14:paraId="00ED69F0">
            <w:r>
              <w:t>0.62</w:t>
            </w:r>
          </w:p>
        </w:tc>
        <w:tc>
          <w:tcPr>
            <w:tcW w:w="2351" w:type="dxa"/>
          </w:tcPr>
          <w:p w14:paraId="1FA57337">
            <w:r>
              <w:t>0.74</w:t>
            </w:r>
          </w:p>
        </w:tc>
        <w:tc>
          <w:tcPr>
            <w:tcW w:w="2351" w:type="dxa"/>
          </w:tcPr>
          <w:p w14:paraId="6E33970B">
            <w:r>
              <w:t>0.75</w:t>
            </w:r>
          </w:p>
        </w:tc>
      </w:tr>
      <w:tr w14:paraId="04A30D44">
        <w:tblPrEx>
          <w:tblCellMar>
            <w:top w:w="0" w:type="dxa"/>
            <w:left w:w="108" w:type="dxa"/>
            <w:bottom w:w="0" w:type="dxa"/>
            <w:right w:w="108" w:type="dxa"/>
          </w:tblCellMar>
        </w:tblPrEx>
        <w:tc>
          <w:tcPr>
            <w:tcW w:w="2351" w:type="dxa"/>
          </w:tcPr>
          <w:p w14:paraId="37E170F5">
            <w:r>
              <w:t>3</w:t>
            </w:r>
          </w:p>
        </w:tc>
        <w:tc>
          <w:tcPr>
            <w:tcW w:w="2351" w:type="dxa"/>
          </w:tcPr>
          <w:p w14:paraId="1FFF26F7">
            <w:r>
              <w:t>0.20</w:t>
            </w:r>
          </w:p>
        </w:tc>
        <w:tc>
          <w:tcPr>
            <w:tcW w:w="2351" w:type="dxa"/>
          </w:tcPr>
          <w:p w14:paraId="74521E9E">
            <w:r>
              <w:t>0.33</w:t>
            </w:r>
          </w:p>
        </w:tc>
        <w:tc>
          <w:tcPr>
            <w:tcW w:w="2351" w:type="dxa"/>
          </w:tcPr>
          <w:p w14:paraId="1DEA5E85">
            <w:r>
              <w:t>0.29</w:t>
            </w:r>
          </w:p>
        </w:tc>
      </w:tr>
      <w:tr w14:paraId="71143506">
        <w:tblPrEx>
          <w:tblCellMar>
            <w:top w:w="0" w:type="dxa"/>
            <w:left w:w="108" w:type="dxa"/>
            <w:bottom w:w="0" w:type="dxa"/>
            <w:right w:w="108" w:type="dxa"/>
          </w:tblCellMar>
        </w:tblPrEx>
        <w:tc>
          <w:tcPr>
            <w:tcW w:w="2351" w:type="dxa"/>
          </w:tcPr>
          <w:p w14:paraId="09E1E758">
            <w:r>
              <w:t>7</w:t>
            </w:r>
          </w:p>
        </w:tc>
        <w:tc>
          <w:tcPr>
            <w:tcW w:w="2351" w:type="dxa"/>
          </w:tcPr>
          <w:p w14:paraId="5616F9B1">
            <w:r>
              <w:t>0.04</w:t>
            </w:r>
          </w:p>
        </w:tc>
        <w:tc>
          <w:tcPr>
            <w:tcW w:w="2351" w:type="dxa"/>
          </w:tcPr>
          <w:p w14:paraId="0D5552B1">
            <w:r>
              <w:t>0.08</w:t>
            </w:r>
          </w:p>
        </w:tc>
        <w:tc>
          <w:tcPr>
            <w:tcW w:w="2351" w:type="dxa"/>
          </w:tcPr>
          <w:p w14:paraId="17587703">
            <w:r>
              <w:t>0.26</w:t>
            </w:r>
          </w:p>
        </w:tc>
      </w:tr>
    </w:tbl>
    <w:p w14:paraId="0AC2ABE4">
      <w:pPr>
        <w:ind w:firstLine="0"/>
        <w:jc w:val="center"/>
      </w:pPr>
      <w:r>
        <w:drawing>
          <wp:inline distT="0" distB="0" distL="114300" distR="114300">
            <wp:extent cx="5303520" cy="2651760"/>
            <wp:effectExtent l="0" t="0" r="508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303520" cy="2651760"/>
                    </a:xfrm>
                    <a:prstGeom prst="rect">
                      <a:avLst/>
                    </a:prstGeom>
                  </pic:spPr>
                </pic:pic>
              </a:graphicData>
            </a:graphic>
          </wp:inline>
        </w:drawing>
      </w:r>
    </w:p>
    <w:p w14:paraId="1E83E7A9">
      <w:pPr>
        <w:spacing w:line="480" w:lineRule="auto"/>
        <w:ind w:firstLine="0"/>
        <w:jc w:val="center"/>
      </w:pPr>
      <w:r>
        <w:rPr>
          <w:rFonts w:ascii="Times New Roman" w:hAnsi="Times New Roman" w:eastAsia="Times New Roman"/>
          <w:b w:val="0"/>
          <w:i w:val="0"/>
          <w:sz w:val="22"/>
        </w:rPr>
        <w:t>Fig. 11. Seasonal NSE at the 1-day horizon (Potomac).</w:t>
      </w:r>
    </w:p>
    <w:p w14:paraId="23102A9D">
      <w:pPr>
        <w:ind w:firstLine="0"/>
        <w:jc w:val="center"/>
      </w:pPr>
      <w:r>
        <w:drawing>
          <wp:inline distT="0" distB="0" distL="114300" distR="114300">
            <wp:extent cx="5303520" cy="2651760"/>
            <wp:effectExtent l="0" t="0" r="508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303520" cy="2651760"/>
                    </a:xfrm>
                    <a:prstGeom prst="rect">
                      <a:avLst/>
                    </a:prstGeom>
                  </pic:spPr>
                </pic:pic>
              </a:graphicData>
            </a:graphic>
          </wp:inline>
        </w:drawing>
      </w:r>
    </w:p>
    <w:p w14:paraId="4B87E054">
      <w:pPr>
        <w:spacing w:line="480" w:lineRule="auto"/>
        <w:ind w:firstLine="0"/>
        <w:jc w:val="center"/>
      </w:pPr>
      <w:r>
        <w:rPr>
          <w:rFonts w:ascii="Times New Roman" w:hAnsi="Times New Roman" w:eastAsia="Times New Roman"/>
          <w:b w:val="0"/>
          <w:i w:val="0"/>
          <w:sz w:val="22"/>
        </w:rPr>
        <w:t>Fig. 12. Seasonal NSE at the 3-day horizon (Potomac).</w:t>
      </w:r>
    </w:p>
    <w:p w14:paraId="4E88D829">
      <w:pPr>
        <w:ind w:firstLine="0"/>
        <w:jc w:val="center"/>
      </w:pPr>
      <w:r>
        <w:drawing>
          <wp:inline distT="0" distB="0" distL="114300" distR="114300">
            <wp:extent cx="5303520" cy="2651760"/>
            <wp:effectExtent l="0" t="0" r="508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303520" cy="2651760"/>
                    </a:xfrm>
                    <a:prstGeom prst="rect">
                      <a:avLst/>
                    </a:prstGeom>
                  </pic:spPr>
                </pic:pic>
              </a:graphicData>
            </a:graphic>
          </wp:inline>
        </w:drawing>
      </w:r>
    </w:p>
    <w:p w14:paraId="4C505412">
      <w:pPr>
        <w:spacing w:line="480" w:lineRule="auto"/>
        <w:ind w:firstLine="0"/>
        <w:jc w:val="center"/>
      </w:pPr>
      <w:r>
        <w:rPr>
          <w:rFonts w:ascii="Times New Roman" w:hAnsi="Times New Roman" w:eastAsia="Times New Roman"/>
          <w:b w:val="0"/>
          <w:i w:val="0"/>
          <w:sz w:val="22"/>
        </w:rPr>
        <w:t>Fig. 13. Seasonal NSE at the 7-day horizon (Potomac).</w:t>
      </w:r>
    </w:p>
    <w:p w14:paraId="11A4D11D">
      <w:pPr>
        <w:ind w:firstLine="0"/>
        <w:jc w:val="center"/>
      </w:pPr>
      <w:r>
        <w:drawing>
          <wp:inline distT="0" distB="0" distL="114300" distR="114300">
            <wp:extent cx="5303520" cy="1831975"/>
            <wp:effectExtent l="0" t="0" r="508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303520" cy="1832125"/>
                    </a:xfrm>
                    <a:prstGeom prst="rect">
                      <a:avLst/>
                    </a:prstGeom>
                  </pic:spPr>
                </pic:pic>
              </a:graphicData>
            </a:graphic>
          </wp:inline>
        </w:drawing>
      </w:r>
    </w:p>
    <w:p w14:paraId="694FA850">
      <w:pPr>
        <w:spacing w:line="480" w:lineRule="auto"/>
        <w:ind w:firstLine="0"/>
        <w:jc w:val="center"/>
      </w:pPr>
      <w:r>
        <w:rPr>
          <w:rFonts w:ascii="Times New Roman" w:hAnsi="Times New Roman" w:eastAsia="Times New Roman"/>
          <w:b w:val="0"/>
          <w:i w:val="0"/>
          <w:sz w:val="22"/>
        </w:rPr>
        <w:t>Fig. 14. Multi-seed uncertainty band for LSTM-Attention (1-day).</w:t>
      </w:r>
    </w:p>
    <w:p w14:paraId="70E4968B">
      <w:pPr>
        <w:ind w:firstLine="0"/>
        <w:jc w:val="center"/>
      </w:pPr>
      <w:r>
        <w:drawing>
          <wp:inline distT="0" distB="0" distL="114300" distR="114300">
            <wp:extent cx="5303520" cy="1831975"/>
            <wp:effectExtent l="0" t="0" r="508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303520" cy="1832125"/>
                    </a:xfrm>
                    <a:prstGeom prst="rect">
                      <a:avLst/>
                    </a:prstGeom>
                  </pic:spPr>
                </pic:pic>
              </a:graphicData>
            </a:graphic>
          </wp:inline>
        </w:drawing>
      </w:r>
    </w:p>
    <w:p w14:paraId="241719BB">
      <w:pPr>
        <w:spacing w:line="480" w:lineRule="auto"/>
        <w:ind w:firstLine="0"/>
        <w:jc w:val="center"/>
      </w:pPr>
      <w:r>
        <w:rPr>
          <w:rFonts w:ascii="Times New Roman" w:hAnsi="Times New Roman" w:eastAsia="Times New Roman"/>
          <w:b w:val="0"/>
          <w:i w:val="0"/>
          <w:sz w:val="22"/>
        </w:rPr>
        <w:t>Fig. 15. Multi-seed uncertainty band for LSTM-Attention (7-day).</w:t>
      </w:r>
    </w:p>
    <w:p w14:paraId="4B440FA9">
      <w:pPr>
        <w:ind w:firstLine="0"/>
        <w:jc w:val="center"/>
      </w:pPr>
      <w:r>
        <w:drawing>
          <wp:inline distT="0" distB="0" distL="114300" distR="114300">
            <wp:extent cx="5303520" cy="3030220"/>
            <wp:effectExtent l="0" t="0" r="508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303520" cy="3030583"/>
                    </a:xfrm>
                    <a:prstGeom prst="rect">
                      <a:avLst/>
                    </a:prstGeom>
                  </pic:spPr>
                </pic:pic>
              </a:graphicData>
            </a:graphic>
          </wp:inline>
        </w:drawing>
      </w:r>
    </w:p>
    <w:p w14:paraId="260314B3">
      <w:pPr>
        <w:spacing w:line="480" w:lineRule="auto"/>
        <w:ind w:firstLine="0"/>
        <w:jc w:val="center"/>
      </w:pPr>
      <w:r>
        <w:rPr>
          <w:rFonts w:ascii="Times New Roman" w:hAnsi="Times New Roman" w:eastAsia="Times New Roman"/>
          <w:b w:val="0"/>
          <w:i w:val="0"/>
          <w:sz w:val="22"/>
        </w:rPr>
        <w:t>Fig. 16. Permutation importance for Potomac 1-day Attention.</w:t>
      </w:r>
    </w:p>
    <w:p w14:paraId="5C1E0F7F">
      <w:pPr>
        <w:ind w:firstLine="0"/>
        <w:jc w:val="center"/>
      </w:pPr>
      <w:r>
        <w:drawing>
          <wp:inline distT="0" distB="0" distL="114300" distR="114300">
            <wp:extent cx="5303520" cy="5303520"/>
            <wp:effectExtent l="0" t="0" r="508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5303520" cy="5303520"/>
                    </a:xfrm>
                    <a:prstGeom prst="rect">
                      <a:avLst/>
                    </a:prstGeom>
                  </pic:spPr>
                </pic:pic>
              </a:graphicData>
            </a:graphic>
          </wp:inline>
        </w:drawing>
      </w:r>
    </w:p>
    <w:p w14:paraId="31C86641">
      <w:pPr>
        <w:spacing w:line="480" w:lineRule="auto"/>
        <w:ind w:firstLine="0"/>
        <w:jc w:val="center"/>
      </w:pPr>
      <w:r>
        <w:rPr>
          <w:rFonts w:ascii="Times New Roman" w:hAnsi="Times New Roman" w:eastAsia="Times New Roman"/>
          <w:b w:val="0"/>
          <w:i w:val="0"/>
          <w:sz w:val="22"/>
        </w:rPr>
        <w:t>Fig. 17. Observed versus predicted discharge at the weekly horizon.</w:t>
      </w:r>
    </w:p>
    <w:p w14:paraId="62E67789">
      <w:pPr>
        <w:spacing w:before="240" w:line="480" w:lineRule="auto"/>
        <w:ind w:firstLine="0"/>
        <w:jc w:val="left"/>
      </w:pPr>
      <w:r>
        <w:rPr>
          <w:rFonts w:ascii="Times New Roman" w:hAnsi="Times New Roman" w:eastAsia="Times New Roman"/>
          <w:b/>
          <w:i w:val="0"/>
          <w:sz w:val="24"/>
        </w:rPr>
        <w:t>5. Discussion</w:t>
      </w:r>
    </w:p>
    <w:p w14:paraId="05327218">
      <w:pPr>
        <w:spacing w:line="480" w:lineRule="auto"/>
        <w:ind w:firstLine="480"/>
        <w:jc w:val="both"/>
      </w:pPr>
      <w:r>
        <w:rPr>
          <w:rFonts w:ascii="Times New Roman" w:hAnsi="Times New Roman" w:eastAsia="Times New Roman"/>
          <w:b w:val="0"/>
          <w:i w:val="0"/>
          <w:sz w:val="24"/>
        </w:rPr>
        <w:t>The contribution is not that upstream flow matters, but that mid-Atlantic short-range forecast skill is routing-dominated at 1 day, with a basin-dependent upstream-ablation signal (stronger on James), a finite ML residual over linear routing, and a clear precipitation-foresight bottleneck beyond about three days. Real GFS QPF can help next-day products yet is not a substitute for bias-aware integration at longer leads, even though oracle experiments show substantial unused skill.</w:t>
      </w:r>
    </w:p>
    <w:p w14:paraId="201987CE">
      <w:pPr>
        <w:spacing w:line="480" w:lineRule="auto"/>
        <w:ind w:firstLine="480"/>
        <w:jc w:val="both"/>
      </w:pPr>
      <w:r>
        <w:rPr>
          <w:rFonts w:ascii="Times New Roman" w:hAnsi="Times New Roman" w:eastAsia="Times New Roman"/>
          <w:b w:val="0"/>
          <w:i w:val="0"/>
          <w:sz w:val="24"/>
        </w:rPr>
        <w:t>These findings align with broader LSTM rainfall–runoff evidence and caution against overstating weekly deterministic skill without precipitation foresight (Kratzert et al., 2018, 2019; Frame et al., 2022; Nearing et al., 2021). Limitations include reanalysis meteorology for non-QPF inputs, a single year of previous-run QPF, omitted regulation/tidal effects, and two-basin rather than continental scope.</w:t>
      </w:r>
    </w:p>
    <w:p w14:paraId="07F09D8A">
      <w:pPr>
        <w:spacing w:before="240" w:line="480" w:lineRule="auto"/>
        <w:ind w:firstLine="0"/>
        <w:jc w:val="left"/>
      </w:pPr>
      <w:r>
        <w:rPr>
          <w:rFonts w:ascii="Times New Roman" w:hAnsi="Times New Roman" w:eastAsia="Times New Roman"/>
          <w:b/>
          <w:i w:val="0"/>
          <w:sz w:val="24"/>
        </w:rPr>
        <w:t>6. Conclusions</w:t>
      </w:r>
    </w:p>
    <w:p w14:paraId="7C899268">
      <w:pPr>
        <w:spacing w:line="480" w:lineRule="auto"/>
        <w:ind w:firstLine="480"/>
        <w:jc w:val="both"/>
      </w:pPr>
      <w:r>
        <w:rPr>
          <w:rFonts w:ascii="Times New Roman" w:hAnsi="Times New Roman" w:eastAsia="Times New Roman"/>
          <w:b w:val="0"/>
          <w:i w:val="0"/>
          <w:sz w:val="24"/>
        </w:rPr>
        <w:t>Main findings. Across Potomac and James outlets, next-day forecasts are largely explained by lagged upstream routing plus local memory; ML adds a finite residual. Precipitation foresight, not additional architecture complexity, is the binding constraint for 3–7-day deterministic skill.</w:t>
      </w:r>
    </w:p>
    <w:p w14:paraId="6134121B">
      <w:pPr>
        <w:spacing w:line="480" w:lineRule="auto"/>
        <w:ind w:firstLine="480"/>
        <w:jc w:val="both"/>
      </w:pPr>
      <w:r>
        <w:rPr>
          <w:rFonts w:ascii="Times New Roman" w:hAnsi="Times New Roman" w:eastAsia="Times New Roman"/>
          <w:b w:val="0"/>
          <w:i w:val="0"/>
          <w:sz w:val="24"/>
        </w:rPr>
        <w:t>Broader impacts. Mid-Atlantic forecasting design should protect upstream telemetry for 1-day flood-threshold alerts and couple weekly products to QPF with explicit bias handling.</w:t>
      </w:r>
    </w:p>
    <w:p w14:paraId="3AB5B4D9">
      <w:pPr>
        <w:spacing w:line="480" w:lineRule="auto"/>
        <w:ind w:firstLine="480"/>
        <w:jc w:val="both"/>
      </w:pPr>
      <w:r>
        <w:rPr>
          <w:rFonts w:ascii="Times New Roman" w:hAnsi="Times New Roman" w:eastAsia="Times New Roman"/>
          <w:b w:val="0"/>
          <w:i w:val="0"/>
          <w:sz w:val="24"/>
        </w:rPr>
        <w:t>Outlook. Extending previous-run QPF archives, testing bias-corrected QPF predictors, and adding further Atlantic-coast basins would strengthen transfer claims.</w:t>
      </w:r>
    </w:p>
    <w:p w14:paraId="684A4D56">
      <w:pPr>
        <w:spacing w:before="240" w:line="480" w:lineRule="auto"/>
        <w:ind w:firstLine="0"/>
        <w:jc w:val="left"/>
      </w:pPr>
      <w:r>
        <w:rPr>
          <w:rFonts w:ascii="Times New Roman" w:hAnsi="Times New Roman" w:eastAsia="Times New Roman"/>
          <w:b/>
          <w:i w:val="0"/>
          <w:sz w:val="24"/>
        </w:rPr>
        <w:t>Data availability</w:t>
      </w:r>
    </w:p>
    <w:p w14:paraId="76AB102F">
      <w:pPr>
        <w:spacing w:line="480" w:lineRule="auto"/>
        <w:ind w:firstLine="0"/>
        <w:jc w:val="both"/>
      </w:pPr>
      <w:r>
        <w:rPr>
          <w:rFonts w:ascii="Times New Roman" w:hAnsi="Times New Roman" w:eastAsia="Times New Roman"/>
          <w:b w:val="0"/>
          <w:i w:val="0"/>
          <w:sz w:val="24"/>
        </w:rPr>
        <w:t>USGS NWIS discharge (https://waterservices.usgs.gov/) and Open-Meteo archive / previous-run APIs (https://open-meteo.com/) are public. Processed tables and scripts are available from the corresponding author upon reasonable request.</w:t>
      </w:r>
    </w:p>
    <w:p w14:paraId="2A14A912">
      <w:pPr>
        <w:spacing w:before="240" w:line="480" w:lineRule="auto"/>
        <w:ind w:firstLine="0"/>
        <w:jc w:val="left"/>
      </w:pPr>
      <w:r>
        <w:rPr>
          <w:rFonts w:ascii="Times New Roman" w:hAnsi="Times New Roman" w:eastAsia="Times New Roman"/>
          <w:b/>
          <w:i w:val="0"/>
          <w:sz w:val="24"/>
        </w:rPr>
        <w:t>Disclosure statement</w:t>
      </w:r>
    </w:p>
    <w:p w14:paraId="05803B94">
      <w:pPr>
        <w:spacing w:line="480" w:lineRule="auto"/>
        <w:ind w:firstLine="0"/>
        <w:jc w:val="both"/>
      </w:pPr>
      <w:r>
        <w:rPr>
          <w:rFonts w:ascii="Times New Roman" w:hAnsi="Times New Roman" w:eastAsia="Times New Roman"/>
          <w:b w:val="0"/>
          <w:i w:val="0"/>
          <w:sz w:val="24"/>
        </w:rPr>
        <w:t>The authors report there are no competing interests to declare.</w:t>
      </w:r>
    </w:p>
    <w:p w14:paraId="3C4218B2">
      <w:pPr>
        <w:spacing w:before="240" w:line="480" w:lineRule="auto"/>
        <w:ind w:firstLine="0"/>
        <w:jc w:val="left"/>
      </w:pPr>
      <w:r>
        <w:rPr>
          <w:rFonts w:ascii="Times New Roman" w:hAnsi="Times New Roman" w:eastAsia="Times New Roman"/>
          <w:b/>
          <w:i w:val="0"/>
          <w:sz w:val="24"/>
        </w:rPr>
        <w:t>Funding</w:t>
      </w:r>
    </w:p>
    <w:p w14:paraId="05AF2D20">
      <w:pPr>
        <w:spacing w:line="480" w:lineRule="auto"/>
        <w:ind w:firstLine="0"/>
        <w:jc w:val="both"/>
      </w:pPr>
      <w:r>
        <w:rPr>
          <w:rFonts w:ascii="Times New Roman" w:hAnsi="Times New Roman" w:eastAsia="Times New Roman"/>
          <w:b w:val="0"/>
          <w:i w:val="0"/>
          <w:sz w:val="24"/>
        </w:rPr>
        <w:t>This research received no specific grant from any funding agency in the public, commercial, or not-for-profit sectors.</w:t>
      </w:r>
    </w:p>
    <w:p w14:paraId="64C81A2B">
      <w:pPr>
        <w:spacing w:before="240" w:line="480" w:lineRule="auto"/>
        <w:ind w:firstLine="0"/>
        <w:jc w:val="left"/>
      </w:pPr>
      <w:r>
        <w:rPr>
          <w:rFonts w:ascii="Times New Roman" w:hAnsi="Times New Roman" w:eastAsia="Times New Roman"/>
          <w:b/>
          <w:i w:val="0"/>
          <w:sz w:val="24"/>
        </w:rPr>
        <w:t>Acknowledgments</w:t>
      </w:r>
    </w:p>
    <w:p w14:paraId="0FACC695">
      <w:pPr>
        <w:spacing w:line="480" w:lineRule="auto"/>
        <w:ind w:firstLine="0"/>
        <w:jc w:val="both"/>
      </w:pPr>
      <w:r>
        <w:rPr>
          <w:rFonts w:ascii="Times New Roman" w:hAnsi="Times New Roman" w:eastAsia="Times New Roman"/>
          <w:b w:val="0"/>
          <w:i w:val="0"/>
          <w:sz w:val="24"/>
        </w:rPr>
        <w:t>The authors thank USGS and Open-Meteo for open data services.</w:t>
      </w:r>
    </w:p>
    <w:p w14:paraId="5D4CD858">
      <w:pPr>
        <w:spacing w:before="240" w:line="480" w:lineRule="auto"/>
        <w:ind w:firstLine="0"/>
        <w:jc w:val="left"/>
      </w:pPr>
      <w:r>
        <w:rPr>
          <w:rFonts w:ascii="Times New Roman" w:hAnsi="Times New Roman" w:eastAsia="Times New Roman"/>
          <w:b/>
          <w:i w:val="0"/>
          <w:sz w:val="24"/>
        </w:rPr>
        <w:t>References</w:t>
      </w:r>
    </w:p>
    <w:p w14:paraId="001C6A86">
      <w:pPr>
        <w:spacing w:line="480" w:lineRule="auto"/>
        <w:ind w:left="480" w:hanging="480"/>
      </w:pPr>
      <w:r>
        <w:rPr>
          <w:rFonts w:ascii="Times New Roman" w:hAnsi="Times New Roman" w:eastAsia="Times New Roman"/>
          <w:b w:val="0"/>
          <w:i w:val="0"/>
          <w:sz w:val="24"/>
        </w:rPr>
        <w:t>Chen, T. and Guestrin, C., 2016. XGBoost: A scalable tree boosting system. In: Proceedings of the 22nd ACM SIGKDD International Conference on Knowledge Discovery and Data Mining. ACM, 785–794.</w:t>
      </w:r>
    </w:p>
    <w:p w14:paraId="11A00AAE">
      <w:pPr>
        <w:spacing w:line="480" w:lineRule="auto"/>
        <w:ind w:left="480" w:hanging="480"/>
      </w:pPr>
      <w:r>
        <w:rPr>
          <w:rFonts w:ascii="Times New Roman" w:hAnsi="Times New Roman" w:eastAsia="Times New Roman"/>
          <w:b w:val="0"/>
          <w:i w:val="0"/>
          <w:sz w:val="24"/>
        </w:rPr>
        <w:t>Frame, J.M., et al., 2022. Deep learning rainfall–runoff predictions of extreme events. Hydrology and Earth System Sciences, 26, 3377–3392.</w:t>
      </w:r>
    </w:p>
    <w:p w14:paraId="4886BABE">
      <w:pPr>
        <w:spacing w:line="480" w:lineRule="auto"/>
        <w:ind w:left="480" w:hanging="480"/>
      </w:pPr>
      <w:r>
        <w:rPr>
          <w:rFonts w:ascii="Times New Roman" w:hAnsi="Times New Roman" w:eastAsia="Times New Roman"/>
          <w:b w:val="0"/>
          <w:i w:val="0"/>
          <w:sz w:val="24"/>
        </w:rPr>
        <w:t>Gupta, H.V., Kling, H., Yilmaz, K.K. and Martinez, G.F., 2009. Decomposition of the mean squared error and NSE performance criteria. Journal of Hydrology, 377, 80–91.</w:t>
      </w:r>
    </w:p>
    <w:p w14:paraId="0B3EC8B7">
      <w:pPr>
        <w:spacing w:line="480" w:lineRule="auto"/>
        <w:ind w:left="480" w:hanging="480"/>
      </w:pPr>
      <w:r>
        <w:rPr>
          <w:rFonts w:ascii="Times New Roman" w:hAnsi="Times New Roman" w:eastAsia="Times New Roman"/>
          <w:b w:val="0"/>
          <w:i w:val="0"/>
          <w:sz w:val="24"/>
        </w:rPr>
        <w:t>Kratzert, F., et al., 2018. Rainfall–runoff modelling using Long Short-Term Memory (LSTM) networks. Hydrology and Earth System Sciences, 22, 6005–6022.</w:t>
      </w:r>
    </w:p>
    <w:p w14:paraId="15B0AC41">
      <w:pPr>
        <w:spacing w:line="480" w:lineRule="auto"/>
        <w:ind w:left="480" w:hanging="480"/>
      </w:pPr>
      <w:r>
        <w:rPr>
          <w:rFonts w:ascii="Times New Roman" w:hAnsi="Times New Roman" w:eastAsia="Times New Roman"/>
          <w:b w:val="0"/>
          <w:i w:val="0"/>
          <w:sz w:val="24"/>
        </w:rPr>
        <w:t>Kratzert, F., et al., 2019. Towards learning universal, regional, and local hydrological behaviors via machine learning applied to large-sample datasets. Hydrology and Earth System Sciences, 23, 5089–5110.</w:t>
      </w:r>
    </w:p>
    <w:p w14:paraId="0943FD17">
      <w:pPr>
        <w:spacing w:line="480" w:lineRule="auto"/>
        <w:ind w:left="480" w:hanging="480"/>
      </w:pPr>
      <w:r>
        <w:rPr>
          <w:rFonts w:ascii="Times New Roman" w:hAnsi="Times New Roman" w:eastAsia="Times New Roman"/>
          <w:b w:val="0"/>
          <w:i w:val="0"/>
          <w:sz w:val="24"/>
        </w:rPr>
        <w:t>Nash, J.E. and Sutcliffe, J.V., 1970. River flow forecasting through conceptual models part I — A discussion of principles. Journal of Hydrology, 10, 282–290.</w:t>
      </w:r>
    </w:p>
    <w:p w14:paraId="07314E95">
      <w:pPr>
        <w:spacing w:line="480" w:lineRule="auto"/>
        <w:ind w:left="480" w:hanging="480"/>
      </w:pPr>
      <w:r>
        <w:rPr>
          <w:rFonts w:ascii="Times New Roman" w:hAnsi="Times New Roman" w:eastAsia="Times New Roman"/>
          <w:b w:val="0"/>
          <w:i w:val="0"/>
          <w:sz w:val="24"/>
        </w:rPr>
        <w:t>Nearing, G.S., et al., 2021. What role does hydrological science play in the age of machine learning? Water Resources Research, 57, e2020WR028091.</w:t>
      </w:r>
    </w:p>
    <w:p w14:paraId="33A11204">
      <w:pPr>
        <w:spacing w:line="480" w:lineRule="auto"/>
        <w:ind w:left="480" w:hanging="480"/>
      </w:pPr>
      <w:r>
        <w:rPr>
          <w:rFonts w:ascii="Times New Roman" w:hAnsi="Times New Roman" w:eastAsia="Times New Roman"/>
          <w:b w:val="0"/>
          <w:i w:val="0"/>
          <w:sz w:val="24"/>
        </w:rPr>
        <w:t>Shen, C., 2018. A transdisciplinary review of deep learning research and its relevance for water resources scientists. Water Resources Research, 54, 8558–8593.</w:t>
      </w:r>
    </w:p>
    <w:p w14:paraId="0E9008A9">
      <w:pPr>
        <w:spacing w:line="480" w:lineRule="auto"/>
        <w:ind w:left="480" w:hanging="480"/>
      </w:pPr>
      <w:r>
        <w:rPr>
          <w:rFonts w:ascii="Times New Roman" w:hAnsi="Times New Roman" w:eastAsia="Times New Roman"/>
          <w:b w:val="0"/>
          <w:i w:val="0"/>
          <w:sz w:val="24"/>
        </w:rPr>
        <w:t>U.S. Geological Survey, 2024. National Water Information System. https://waterdata.usgs.gov/nwis.</w:t>
      </w:r>
    </w:p>
    <w:sectPr>
      <w:pgSz w:w="12240" w:h="15840"/>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sans-serif">
    <w:altName w:val="AMGD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FA446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480" w:lineRule="auto"/>
    </w:pPr>
    <w:rPr>
      <w:rFonts w:ascii="Times New Roman" w:hAnsi="Times New Roman" w:eastAsia="Times New Roman"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932</Words>
  <Characters>5868</Characters>
  <Lines>0</Lines>
  <Paragraphs>0</Paragraphs>
  <TotalTime>3</TotalTime>
  <ScaleCrop>false</ScaleCrop>
  <LinksUpToDate>false</LinksUpToDate>
  <CharactersWithSpaces>6740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喵</cp:lastModifiedBy>
  <dcterms:modified xsi:type="dcterms:W3CDTF">2026-07-28T02:24:56Z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eyJoZGlkIjoiNDlmMDVhZDE0MGFlMTk4YTNhNDQwNzQ2NzkzYjVlMjkiLCJ1c2VySWQiOiIxNjY5MDUwMTQ0In0=</vt:lpwstr>
  </property>
  <property fmtid="{D5CDD505-2E9C-101B-9397-08002B2CF9AE}" pid="3" name="KSOProductBuildVer">
    <vt:lpwstr>2052-12.1.0.26895</vt:lpwstr>
  </property>
  <property fmtid="{D5CDD505-2E9C-101B-9397-08002B2CF9AE}" pid="4" name="ICV">
    <vt:lpwstr>A6F30EEA9A1A404FBBC8AEF6D60BF5B1_12</vt:lpwstr>
  </property>
</Properties>
</file>