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7A7D3">
      <w:pPr>
        <w:spacing w:line="480" w:lineRule="auto"/>
        <w:jc w:val="center"/>
      </w:pPr>
      <w:r>
        <w:rPr>
          <w:rFonts w:ascii="Times New Roman" w:hAnsi="Times New Roman" w:eastAsia="Times New Roman"/>
          <w:b/>
          <w:i w:val="0"/>
          <w:sz w:val="28"/>
        </w:rPr>
        <w:t>Value of upstream gauge information for multi-horizon streamflow forecasting in the Potomac River basin: comparing deep learning and gradient boosting</w:t>
      </w:r>
    </w:p>
    <w:p w14:paraId="367D5803">
      <w:pPr>
        <w:spacing w:line="480" w:lineRule="auto"/>
        <w:jc w:val="center"/>
        <w:rPr>
          <w:rFonts w:hint="eastAsia" w:eastAsia="宋体"/>
          <w:b w:val="0"/>
          <w:i w:val="0"/>
          <w:sz w:val="24"/>
          <w:lang w:val="en-US" w:eastAsia="zh-CN"/>
        </w:rPr>
      </w:pPr>
      <w:r>
        <w:rPr>
          <w:rFonts w:hint="eastAsia" w:eastAsia="宋体"/>
          <w:b w:val="0"/>
          <w:i w:val="0"/>
          <w:sz w:val="24"/>
          <w:lang w:val="en-US" w:eastAsia="zh-CN"/>
        </w:rPr>
        <w:t>Zhang Senjie</w:t>
      </w:r>
    </w:p>
    <w:p w14:paraId="3D92A4F0">
      <w:pPr>
        <w:spacing w:line="480" w:lineRule="auto"/>
        <w:jc w:val="center"/>
        <w:rPr>
          <w:rFonts w:hint="default" w:eastAsia="宋体"/>
          <w:lang w:val="en-US" w:eastAsia="zh-CN"/>
        </w:rPr>
      </w:pPr>
      <w:r>
        <w:rPr>
          <w:rFonts w:hint="eastAsia" w:ascii="Times New Roman" w:hAnsi="Times New Roman" w:eastAsia="Times New Roman"/>
          <w:b w:val="0"/>
          <w:i w:val="0"/>
          <w:sz w:val="22"/>
        </w:rPr>
        <w:t>College of Resources and Environment</w:t>
      </w:r>
      <w:r>
        <w:rPr>
          <w:rFonts w:ascii="Times New Roman" w:hAnsi="Times New Roman" w:eastAsia="Times New Roman"/>
          <w:b w:val="0"/>
          <w:i w:val="0"/>
          <w:sz w:val="22"/>
        </w:rPr>
        <w:t>,</w:t>
      </w:r>
      <w:r>
        <w:rPr>
          <w:rFonts w:hint="eastAsia" w:eastAsia="宋体"/>
          <w:b w:val="0"/>
          <w:i w:val="0"/>
          <w:sz w:val="22"/>
          <w:lang w:val="en-US" w:eastAsia="zh-CN"/>
        </w:rPr>
        <w:t>Lanzhou</w:t>
      </w:r>
      <w:r>
        <w:rPr>
          <w:rFonts w:ascii="Times New Roman" w:hAnsi="Times New Roman" w:eastAsia="Times New Roman"/>
          <w:b w:val="0"/>
          <w:i w:val="0"/>
          <w:sz w:val="22"/>
        </w:rPr>
        <w:t xml:space="preserve"> University, </w:t>
      </w:r>
      <w:r>
        <w:rPr>
          <w:rFonts w:hint="eastAsia" w:eastAsia="宋体"/>
          <w:b w:val="0"/>
          <w:i w:val="0"/>
          <w:sz w:val="22"/>
          <w:lang w:val="en-US" w:eastAsia="zh-CN"/>
        </w:rPr>
        <w:t>Lanzhou</w:t>
      </w:r>
      <w:r>
        <w:rPr>
          <w:rFonts w:ascii="Times New Roman" w:hAnsi="Times New Roman" w:eastAsia="Times New Roman"/>
          <w:b w:val="0"/>
          <w:i w:val="0"/>
          <w:sz w:val="22"/>
        </w:rPr>
        <w:t>, C</w:t>
      </w:r>
      <w:r>
        <w:rPr>
          <w:rFonts w:hint="eastAsia" w:eastAsia="宋体"/>
          <w:b w:val="0"/>
          <w:i w:val="0"/>
          <w:sz w:val="22"/>
          <w:lang w:val="en-US" w:eastAsia="zh-CN"/>
        </w:rPr>
        <w:t>hina</w:t>
      </w:r>
    </w:p>
    <w:p w14:paraId="5D1F508A">
      <w:pPr>
        <w:spacing w:line="480" w:lineRule="auto"/>
        <w:jc w:val="center"/>
        <w:rPr>
          <w:rFonts w:hint="default" w:eastAsia="宋体"/>
          <w:lang w:val="en-US" w:eastAsia="zh-CN"/>
        </w:rPr>
      </w:pPr>
      <w:r>
        <w:rPr>
          <w:rFonts w:ascii="Times New Roman" w:hAnsi="Times New Roman" w:eastAsia="Times New Roman"/>
          <w:b w:val="0"/>
          <w:i w:val="0"/>
          <w:sz w:val="22"/>
        </w:rPr>
        <w:t xml:space="preserve"> E-mail:</w:t>
      </w:r>
      <w:r>
        <w:rPr>
          <w:rFonts w:hint="eastAsia" w:eastAsia="宋体"/>
          <w:b w:val="0"/>
          <w:i w:val="0"/>
          <w:sz w:val="22"/>
          <w:lang w:val="en-US" w:eastAsia="zh-CN"/>
        </w:rPr>
        <w:t>3079099853@qq.com</w:t>
      </w:r>
    </w:p>
    <w:p w14:paraId="6E900E34">
      <w:pPr>
        <w:spacing w:line="480" w:lineRule="auto"/>
        <w:jc w:val="center"/>
      </w:pPr>
      <w:r>
        <w:rPr>
          <w:rFonts w:ascii="Times New Roman" w:hAnsi="Times New Roman" w:eastAsia="Times New Roman"/>
          <w:b w:val="0"/>
          <w:i w:val="0"/>
          <w:sz w:val="20"/>
        </w:rPr>
        <w:t>Manuscript type: Research Paper  |  Target journal: Journal of Hydrology: Regional Studies</w:t>
      </w:r>
    </w:p>
    <w:p w14:paraId="63F007F1">
      <w:pPr>
        <w:spacing w:before="240" w:line="480" w:lineRule="auto"/>
        <w:ind w:firstLine="0"/>
        <w:jc w:val="left"/>
      </w:pPr>
      <w:r>
        <w:rPr>
          <w:rFonts w:ascii="Times New Roman" w:hAnsi="Times New Roman" w:eastAsia="Times New Roman"/>
          <w:b/>
          <w:i w:val="0"/>
          <w:sz w:val="24"/>
        </w:rPr>
        <w:t>Highlights</w:t>
      </w:r>
      <w:bookmarkStart w:id="0" w:name="_GoBack"/>
      <w:bookmarkEnd w:id="0"/>
    </w:p>
    <w:p w14:paraId="461A4A80">
      <w:pPr>
        <w:spacing w:line="480" w:lineRule="auto"/>
        <w:ind w:left="360" w:firstLine="0"/>
      </w:pPr>
      <w:r>
        <w:rPr>
          <w:rFonts w:ascii="Times New Roman" w:hAnsi="Times New Roman" w:eastAsia="Times New Roman"/>
          <w:b w:val="0"/>
          <w:i w:val="0"/>
          <w:sz w:val="24"/>
        </w:rPr>
        <w:t>• Upstream Potomac gauges lift 1-day forecast NSE versus local-only inputs.</w:t>
      </w:r>
    </w:p>
    <w:p w14:paraId="24971D48">
      <w:pPr>
        <w:spacing w:line="480" w:lineRule="auto"/>
        <w:ind w:left="360" w:firstLine="0"/>
      </w:pPr>
      <w:r>
        <w:rPr>
          <w:rFonts w:ascii="Times New Roman" w:hAnsi="Times New Roman" w:eastAsia="Times New Roman"/>
          <w:b w:val="0"/>
          <w:i w:val="0"/>
          <w:sz w:val="24"/>
        </w:rPr>
        <w:t>• LSTM-Attention leads at 1 day; skill falls sharply toward the weekly horizon.</w:t>
      </w:r>
    </w:p>
    <w:p w14:paraId="18387D29">
      <w:pPr>
        <w:spacing w:line="480" w:lineRule="auto"/>
        <w:ind w:left="360" w:firstLine="0"/>
      </w:pPr>
      <w:r>
        <w:rPr>
          <w:rFonts w:ascii="Times New Roman" w:hAnsi="Times New Roman" w:eastAsia="Times New Roman"/>
          <w:b w:val="0"/>
          <w:i w:val="0"/>
          <w:sz w:val="24"/>
        </w:rPr>
        <w:t>• High-flow NSE and peak timing expose flood-relevant model limits.</w:t>
      </w:r>
    </w:p>
    <w:p w14:paraId="51C27E0F">
      <w:pPr>
        <w:spacing w:line="480" w:lineRule="auto"/>
        <w:ind w:left="360" w:firstLine="0"/>
      </w:pPr>
      <w:r>
        <w:rPr>
          <w:rFonts w:ascii="Times New Roman" w:hAnsi="Times New Roman" w:eastAsia="Times New Roman"/>
          <w:b w:val="0"/>
          <w:i w:val="0"/>
          <w:sz w:val="24"/>
        </w:rPr>
        <w:t>• Permutation tests rank local discharge highest, then upstream flows.</w:t>
      </w:r>
    </w:p>
    <w:p w14:paraId="3E1163DA">
      <w:pPr>
        <w:spacing w:line="480" w:lineRule="auto"/>
        <w:ind w:left="360" w:firstLine="0"/>
      </w:pPr>
      <w:r>
        <w:rPr>
          <w:rFonts w:ascii="Times New Roman" w:hAnsi="Times New Roman" w:eastAsia="Times New Roman"/>
          <w:b w:val="0"/>
          <w:i w:val="0"/>
          <w:sz w:val="24"/>
        </w:rPr>
        <w:t>• Results guide mid-Atlantic short-range forecasting network design.</w:t>
      </w:r>
    </w:p>
    <w:p w14:paraId="55FDC7B0">
      <w:pPr>
        <w:spacing w:before="240" w:line="480" w:lineRule="auto"/>
        <w:ind w:firstLine="0"/>
        <w:jc w:val="left"/>
      </w:pPr>
      <w:r>
        <w:rPr>
          <w:rFonts w:ascii="Times New Roman" w:hAnsi="Times New Roman" w:eastAsia="Times New Roman"/>
          <w:b/>
          <w:i w:val="0"/>
          <w:sz w:val="24"/>
        </w:rPr>
        <w:t>Abstract</w:t>
      </w:r>
    </w:p>
    <w:p w14:paraId="09535592">
      <w:pPr>
        <w:spacing w:line="480" w:lineRule="auto"/>
        <w:jc w:val="both"/>
      </w:pPr>
      <w:r>
        <w:rPr>
          <w:rFonts w:ascii="Times New Roman" w:hAnsi="Times New Roman" w:eastAsia="Times New Roman"/>
          <w:b/>
          <w:i w:val="0"/>
          <w:sz w:val="24"/>
        </w:rPr>
        <w:t>Study region:</w:t>
      </w:r>
    </w:p>
    <w:p w14:paraId="472A9F4D">
      <w:pPr>
        <w:spacing w:line="480" w:lineRule="auto"/>
        <w:jc w:val="both"/>
      </w:pPr>
      <w:r>
        <w:rPr>
          <w:rFonts w:ascii="Times New Roman" w:hAnsi="Times New Roman" w:eastAsia="Times New Roman"/>
          <w:b w:val="0"/>
          <w:i w:val="0"/>
          <w:sz w:val="24"/>
        </w:rPr>
        <w:t>The Potomac River basin in the mid-Atlantic United States, focusing on the downstream control gauge at Washington, D.C. (USGS 01646500), with two upstream gauges on the Shenandoah River at Millville, WV (01636500) and the Potomac River at Harpers Ferry, WV (01638480). Daily records span 2000–2023.</w:t>
      </w:r>
    </w:p>
    <w:p w14:paraId="4E5DF9B6">
      <w:pPr>
        <w:spacing w:line="480" w:lineRule="auto"/>
        <w:jc w:val="both"/>
      </w:pPr>
      <w:r>
        <w:rPr>
          <w:rFonts w:ascii="Times New Roman" w:hAnsi="Times New Roman" w:eastAsia="Times New Roman"/>
          <w:b/>
          <w:i w:val="0"/>
          <w:sz w:val="24"/>
        </w:rPr>
        <w:t>Study focus:</w:t>
      </w:r>
    </w:p>
    <w:p w14:paraId="644F0683">
      <w:pPr>
        <w:spacing w:line="480" w:lineRule="auto"/>
        <w:jc w:val="both"/>
      </w:pPr>
      <w:r>
        <w:rPr>
          <w:rFonts w:ascii="Times New Roman" w:hAnsi="Times New Roman" w:eastAsia="Times New Roman"/>
          <w:b w:val="0"/>
          <w:i w:val="0"/>
          <w:sz w:val="24"/>
        </w:rPr>
        <w:t>We evaluate whether networked upstream discharge and precipitation improve multi-horizon (1-, 3-, and 7-day) streamflow forecasts relative to local-only meteorological and discharge inputs. Persistence, XGBoost, LSTM, and LSTM-Attention models are trained with a chronological split (training through 2018; validation 2019–2020; testing 2021–2023). Beyond bulk NSE/KGE, we report high-/low-flow stratified skill, seasonal skill, peak-event errors, multi-seed uncertainty for deep models, and permutation-based interpretability.</w:t>
      </w:r>
    </w:p>
    <w:p w14:paraId="28223CA2">
      <w:pPr>
        <w:spacing w:line="480" w:lineRule="auto"/>
        <w:jc w:val="both"/>
      </w:pPr>
      <w:r>
        <w:rPr>
          <w:rFonts w:ascii="Times New Roman" w:hAnsi="Times New Roman" w:eastAsia="Times New Roman"/>
          <w:b/>
          <w:i w:val="0"/>
          <w:sz w:val="24"/>
        </w:rPr>
        <w:t>New hydrological insights for the region:</w:t>
      </w:r>
    </w:p>
    <w:p w14:paraId="41242E43">
      <w:pPr>
        <w:spacing w:line="480" w:lineRule="auto"/>
        <w:jc w:val="both"/>
      </w:pPr>
      <w:r>
        <w:rPr>
          <w:rFonts w:ascii="Times New Roman" w:hAnsi="Times New Roman" w:eastAsia="Times New Roman"/>
          <w:b w:val="0"/>
          <w:i w:val="0"/>
          <w:sz w:val="24"/>
        </w:rPr>
        <w:t>For the Washington, D.C. gauge, LSTM-Attention attains 1-day NSE = 0.931 (KGE = 0.918), exceeding persistence (NSE = 0.787) and remaining competitive with XGBoost (NSE = 0.910) and LSTM (NSE = 0.923). Upstream information is material at short lead times: ablating upstream inputs changes 1-day NSE from 0.931 to 0.907. Skill declines rapidly at 3–7 days for all methods, indicating that weekly forecasts for this humid subtropical basin remain limited when forced only by recent local and near-upstream observations. Seasonal and peak diagnostics show that residual errors concentrate in rapidly rising limbs and selected warm-season events, which is directly relevant to regional flood operations along the lower Potomac corridor.</w:t>
      </w:r>
    </w:p>
    <w:p w14:paraId="73EA467B">
      <w:pPr>
        <w:spacing w:line="480" w:lineRule="auto"/>
        <w:jc w:val="both"/>
      </w:pPr>
      <w:r>
        <w:rPr>
          <w:rFonts w:ascii="Times New Roman" w:hAnsi="Times New Roman" w:eastAsia="Times New Roman"/>
          <w:b w:val="0"/>
          <w:i w:val="0"/>
          <w:sz w:val="24"/>
        </w:rPr>
        <w:t>Keywords: streamflow forecasting; Potomac River; upstream gauges; LSTM; XGBoost; flood peaks; mid-Atlantic hydrology</w:t>
      </w:r>
    </w:p>
    <w:p w14:paraId="24951C3E">
      <w:pPr>
        <w:spacing w:before="240" w:line="480" w:lineRule="auto"/>
        <w:ind w:firstLine="0"/>
        <w:jc w:val="left"/>
      </w:pPr>
      <w:r>
        <w:rPr>
          <w:rFonts w:ascii="Times New Roman" w:hAnsi="Times New Roman" w:eastAsia="Times New Roman"/>
          <w:b/>
          <w:i w:val="0"/>
          <w:sz w:val="24"/>
        </w:rPr>
        <w:t>1. Introduction</w:t>
      </w:r>
    </w:p>
    <w:p w14:paraId="4B35C9CD">
      <w:pPr>
        <w:spacing w:line="480" w:lineRule="auto"/>
        <w:ind w:firstLine="480"/>
        <w:jc w:val="both"/>
      </w:pPr>
      <w:r>
        <w:rPr>
          <w:rFonts w:ascii="Times New Roman" w:hAnsi="Times New Roman" w:eastAsia="Times New Roman"/>
          <w:b w:val="0"/>
          <w:i w:val="0"/>
          <w:sz w:val="24"/>
        </w:rPr>
        <w:t>Short-range streamflow forecasts underpin flood watches, navigation, and water-supply operations in densely populated corridors. In the mid-Atlantic United States, the Potomac River system drains a mixed mountain–piedmont–coastal landscape and supplies the Washington metropolitan area. Forecast skill at the Washington, D.C. gauge therefore has clear regional stakes: errors during rising limbs propagate into emergency messaging and reservoir coordination.</w:t>
      </w:r>
    </w:p>
    <w:p w14:paraId="68CBAAFE">
      <w:pPr>
        <w:spacing w:line="480" w:lineRule="auto"/>
        <w:ind w:firstLine="480"/>
        <w:jc w:val="both"/>
      </w:pPr>
      <w:r>
        <w:rPr>
          <w:rFonts w:ascii="Times New Roman" w:hAnsi="Times New Roman" w:eastAsia="Times New Roman"/>
          <w:b w:val="0"/>
          <w:i w:val="0"/>
          <w:sz w:val="24"/>
        </w:rPr>
        <w:t>Process-based forecasting chains remain the operational backbone, yet data-driven models have matured as complementary tools when dense gauge and meteorological archives are available (Kratzert et al., 2019; Frame et al., 2022; Nearing et al., 2021). Long short-term memory (LSTM) networks capture nonlinear memory in rainfall–runoff sequences (Kratzert et al., 2018), while gradient-boosted trees often provide strong tabular baselines with lower training cost (Chen and Guestrin, 2016). Attention layers are frequently added to LSTMs to re-weight recent history; however, novelty claims based solely on architecture rarely survive review unless accompanied by hydrological insight about when and why information pathways matter (Shen, 2018; Reichstein et al., 2019).</w:t>
      </w:r>
    </w:p>
    <w:p w14:paraId="6DE03B1D">
      <w:pPr>
        <w:spacing w:line="480" w:lineRule="auto"/>
        <w:ind w:firstLine="480"/>
        <w:jc w:val="both"/>
      </w:pPr>
      <w:r>
        <w:rPr>
          <w:rFonts w:ascii="Times New Roman" w:hAnsi="Times New Roman" w:eastAsia="Times New Roman"/>
          <w:b w:val="0"/>
          <w:i w:val="0"/>
          <w:sz w:val="24"/>
        </w:rPr>
        <w:t>For a dendritic basin such as the Potomac, upstream gauges provide physically meaningful precursors of downstream hydrographs. The open regional question is quantitative: how large is the marginal value of those gauges across forecast horizons of one to seven days, and does deep learning retain an advantage once competitive machine-learning baselines are included? Prior studies have demonstrated multi-gauge LSTM skill in other regions, but mid-Atlantic applications still need transparent, fully reproducible benchmarks with flood-oriented diagnostics rather than bulk NSE alone (Nash and Sutcliffe, 1970; Gupta et al., 2009).</w:t>
      </w:r>
    </w:p>
    <w:p w14:paraId="3039D368">
      <w:pPr>
        <w:spacing w:line="480" w:lineRule="auto"/>
        <w:ind w:firstLine="480"/>
        <w:jc w:val="both"/>
      </w:pPr>
      <w:r>
        <w:rPr>
          <w:rFonts w:ascii="Times New Roman" w:hAnsi="Times New Roman" w:eastAsia="Times New Roman"/>
          <w:b w:val="0"/>
          <w:i w:val="0"/>
          <w:sz w:val="24"/>
        </w:rPr>
        <w:t>This paper addresses three research questions for the Potomac outlet at Washington, D.C. (RQ1) Does adding Shenandoah (Millville) and Potomac (Harpers Ferry) discharge and precipitation improve multi-horizon forecasts relative to local-only inputs? (RQ2) How do LSTM, LSTM-Attention, and XGBoost compare as lead time increases from 1 to 7 days? (RQ3) Where do residual errors concentrate seasonally and during peak events that matter for flood response? The specific objectives are to (i) quantify horizon-dependent skill under a chronological split, (ii) isolate the contribution of upstream inputs by ablation, and (iii) report stratified, seasonal, peak, uncertainty, and interpretability diagnostics that speak directly to regional forecasting practice. We deliberately avoid claiming a new universal architecture; instead we deliver region-specific evidence on network design and model choice for short-range forecasting.</w:t>
      </w:r>
    </w:p>
    <w:p w14:paraId="6F73CCD2">
      <w:pPr>
        <w:spacing w:before="240" w:line="480" w:lineRule="auto"/>
        <w:ind w:firstLine="0"/>
        <w:jc w:val="left"/>
      </w:pPr>
      <w:r>
        <w:rPr>
          <w:rFonts w:ascii="Times New Roman" w:hAnsi="Times New Roman" w:eastAsia="Times New Roman"/>
          <w:b/>
          <w:i w:val="0"/>
          <w:sz w:val="24"/>
        </w:rPr>
        <w:t>2. Materials and methods</w:t>
      </w:r>
    </w:p>
    <w:p w14:paraId="6A51D109">
      <w:pPr>
        <w:spacing w:before="240" w:line="480" w:lineRule="auto"/>
        <w:ind w:firstLine="0"/>
        <w:jc w:val="left"/>
      </w:pPr>
      <w:r>
        <w:rPr>
          <w:rFonts w:ascii="Times New Roman" w:hAnsi="Times New Roman" w:eastAsia="Times New Roman"/>
          <w:b/>
          <w:i w:val="0"/>
          <w:sz w:val="24"/>
        </w:rPr>
        <w:t>2.1 Study area and representativeness</w:t>
      </w:r>
    </w:p>
    <w:p w14:paraId="7905AC87">
      <w:pPr>
        <w:spacing w:line="480" w:lineRule="auto"/>
        <w:ind w:firstLine="480"/>
        <w:jc w:val="both"/>
      </w:pPr>
      <w:r>
        <w:rPr>
          <w:rFonts w:ascii="Times New Roman" w:hAnsi="Times New Roman" w:eastAsia="Times New Roman"/>
          <w:b w:val="0"/>
          <w:i w:val="0"/>
          <w:sz w:val="24"/>
        </w:rPr>
        <w:t>We study three U.S. Geological Survey (USGS) stations arranged along the Potomac–Shenandoah network (Fig. 1; Table 1). The forecast target is daily mean discharge at Potomac River near Washington, D.C. (01646500). Upstream predictors include Shenandoah River at Millville, WV (01636500) and Potomac River at Harpers Ferry, WV (01638480). Travel times between these locations are typically on the order of hours to roughly a day under ordinary flow, so upstream hydrographs are informative for 1-day ahead prediction and progressively less constraining for weekly leads.</w:t>
      </w:r>
    </w:p>
    <w:p w14:paraId="5A8920FC">
      <w:pPr>
        <w:spacing w:line="480" w:lineRule="auto"/>
        <w:ind w:firstLine="480"/>
        <w:jc w:val="both"/>
      </w:pPr>
      <w:r>
        <w:rPr>
          <w:rFonts w:ascii="Times New Roman" w:hAnsi="Times New Roman" w:eastAsia="Times New Roman"/>
          <w:b w:val="0"/>
          <w:i w:val="0"/>
          <w:sz w:val="24"/>
        </w:rPr>
        <w:t>The lower Potomac corridor is representative of humid subtropical mid-Atlantic basins with mixed orographic and piedmont runoff generation, strong seasonality, and high societal exposure around a major metropolitan water-supply and flood-risk setting. While results are basin-specific, the experimental design—public multi-gauge inputs, chronological evaluation, and flood-oriented diagnostics—is transferable to neighboring systems such as the Susquehanna or James Rivers.</w:t>
      </w:r>
    </w:p>
    <w:p w14:paraId="58647083">
      <w:pPr>
        <w:ind w:firstLine="0"/>
        <w:jc w:val="center"/>
      </w:pPr>
      <w:r>
        <w:drawing>
          <wp:inline distT="0" distB="0" distL="114300" distR="114300">
            <wp:extent cx="5303520" cy="261112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611480"/>
                    </a:xfrm>
                    <a:prstGeom prst="rect">
                      <a:avLst/>
                    </a:prstGeom>
                  </pic:spPr>
                </pic:pic>
              </a:graphicData>
            </a:graphic>
          </wp:inline>
        </w:drawing>
      </w:r>
    </w:p>
    <w:p w14:paraId="0997D98D">
      <w:pPr>
        <w:spacing w:line="480" w:lineRule="auto"/>
        <w:jc w:val="center"/>
      </w:pPr>
      <w:r>
        <w:rPr>
          <w:rFonts w:ascii="Times New Roman" w:hAnsi="Times New Roman" w:eastAsia="Times New Roman"/>
          <w:b w:val="0"/>
          <w:i w:val="0"/>
          <w:sz w:val="22"/>
        </w:rPr>
        <w:t>Fig. 1. Schematic location of the three USGS gauges used in this study.</w:t>
      </w:r>
    </w:p>
    <w:p w14:paraId="4B1F3E1B">
      <w:pPr>
        <w:spacing w:line="480" w:lineRule="auto"/>
        <w:jc w:val="center"/>
      </w:pPr>
      <w:r>
        <w:rPr>
          <w:rFonts w:ascii="Times New Roman" w:hAnsi="Times New Roman" w:eastAsia="Times New Roman"/>
          <w:b w:val="0"/>
          <w:i w:val="0"/>
          <w:sz w:val="22"/>
        </w:rPr>
        <w:t>Table 1. USGS stations used in this study.</w:t>
      </w:r>
    </w:p>
    <w:tbl>
      <w:tblPr>
        <w:tblStyle w:val="32"/>
        <w:tblW w:w="0" w:type="auto"/>
        <w:tblInd w:w="0" w:type="dxa"/>
        <w:tblLayout w:type="autofit"/>
        <w:tblCellMar>
          <w:top w:w="0" w:type="dxa"/>
          <w:left w:w="108" w:type="dxa"/>
          <w:bottom w:w="0" w:type="dxa"/>
          <w:right w:w="108" w:type="dxa"/>
        </w:tblCellMar>
      </w:tblPr>
      <w:tblGrid>
        <w:gridCol w:w="1881"/>
        <w:gridCol w:w="1881"/>
        <w:gridCol w:w="1881"/>
        <w:gridCol w:w="1881"/>
        <w:gridCol w:w="1881"/>
      </w:tblGrid>
      <w:tr w14:paraId="2E274E54">
        <w:tblPrEx>
          <w:tblCellMar>
            <w:top w:w="0" w:type="dxa"/>
            <w:left w:w="108" w:type="dxa"/>
            <w:bottom w:w="0" w:type="dxa"/>
            <w:right w:w="108" w:type="dxa"/>
          </w:tblCellMar>
        </w:tblPrEx>
        <w:tc>
          <w:tcPr>
            <w:tcW w:w="1881" w:type="dxa"/>
          </w:tcPr>
          <w:p w14:paraId="1B7FCD12">
            <w:r>
              <w:t>Site ID</w:t>
            </w:r>
          </w:p>
        </w:tc>
        <w:tc>
          <w:tcPr>
            <w:tcW w:w="1881" w:type="dxa"/>
          </w:tcPr>
          <w:p w14:paraId="19013B28">
            <w:r>
              <w:t>Name</w:t>
            </w:r>
          </w:p>
        </w:tc>
        <w:tc>
          <w:tcPr>
            <w:tcW w:w="1881" w:type="dxa"/>
          </w:tcPr>
          <w:p w14:paraId="06370DD0">
            <w:r>
              <w:t>Role</w:t>
            </w:r>
          </w:p>
        </w:tc>
        <w:tc>
          <w:tcPr>
            <w:tcW w:w="1881" w:type="dxa"/>
          </w:tcPr>
          <w:p w14:paraId="30CE81F2">
            <w:r>
              <w:t>Lat (°N)</w:t>
            </w:r>
          </w:p>
        </w:tc>
        <w:tc>
          <w:tcPr>
            <w:tcW w:w="1881" w:type="dxa"/>
          </w:tcPr>
          <w:p w14:paraId="4AEB0801">
            <w:r>
              <w:t>Lon (°W)</w:t>
            </w:r>
          </w:p>
        </w:tc>
      </w:tr>
      <w:tr w14:paraId="32AFBA6B">
        <w:tblPrEx>
          <w:tblCellMar>
            <w:top w:w="0" w:type="dxa"/>
            <w:left w:w="108" w:type="dxa"/>
            <w:bottom w:w="0" w:type="dxa"/>
            <w:right w:w="108" w:type="dxa"/>
          </w:tblCellMar>
        </w:tblPrEx>
        <w:tc>
          <w:tcPr>
            <w:tcW w:w="1881" w:type="dxa"/>
          </w:tcPr>
          <w:p w14:paraId="6A3724AD">
            <w:r>
              <w:t>01646500</w:t>
            </w:r>
          </w:p>
        </w:tc>
        <w:tc>
          <w:tcPr>
            <w:tcW w:w="1881" w:type="dxa"/>
          </w:tcPr>
          <w:p w14:paraId="6BE5B0AE">
            <w:r>
              <w:t>Potomac River at Washington, DC</w:t>
            </w:r>
          </w:p>
        </w:tc>
        <w:tc>
          <w:tcPr>
            <w:tcW w:w="1881" w:type="dxa"/>
          </w:tcPr>
          <w:p w14:paraId="6AA180F2">
            <w:r>
              <w:t>Target</w:t>
            </w:r>
          </w:p>
        </w:tc>
        <w:tc>
          <w:tcPr>
            <w:tcW w:w="1881" w:type="dxa"/>
          </w:tcPr>
          <w:p w14:paraId="35C4659C">
            <w:r>
              <w:t>38.95</w:t>
            </w:r>
          </w:p>
        </w:tc>
        <w:tc>
          <w:tcPr>
            <w:tcW w:w="1881" w:type="dxa"/>
          </w:tcPr>
          <w:p w14:paraId="796D68EE">
            <w:r>
              <w:t>77.13</w:t>
            </w:r>
          </w:p>
        </w:tc>
      </w:tr>
      <w:tr w14:paraId="6BA96BC8">
        <w:tblPrEx>
          <w:tblCellMar>
            <w:top w:w="0" w:type="dxa"/>
            <w:left w:w="108" w:type="dxa"/>
            <w:bottom w:w="0" w:type="dxa"/>
            <w:right w:w="108" w:type="dxa"/>
          </w:tblCellMar>
        </w:tblPrEx>
        <w:tc>
          <w:tcPr>
            <w:tcW w:w="1881" w:type="dxa"/>
          </w:tcPr>
          <w:p w14:paraId="5693C367">
            <w:r>
              <w:t>01636500</w:t>
            </w:r>
          </w:p>
        </w:tc>
        <w:tc>
          <w:tcPr>
            <w:tcW w:w="1881" w:type="dxa"/>
          </w:tcPr>
          <w:p w14:paraId="0D955F7E">
            <w:r>
              <w:t>Shenandoah River at Millville, WV</w:t>
            </w:r>
          </w:p>
        </w:tc>
        <w:tc>
          <w:tcPr>
            <w:tcW w:w="1881" w:type="dxa"/>
          </w:tcPr>
          <w:p w14:paraId="78705853">
            <w:r>
              <w:t>Tributary</w:t>
            </w:r>
          </w:p>
        </w:tc>
        <w:tc>
          <w:tcPr>
            <w:tcW w:w="1881" w:type="dxa"/>
          </w:tcPr>
          <w:p w14:paraId="23649940">
            <w:r>
              <w:t>39.29</w:t>
            </w:r>
          </w:p>
        </w:tc>
        <w:tc>
          <w:tcPr>
            <w:tcW w:w="1881" w:type="dxa"/>
          </w:tcPr>
          <w:p w14:paraId="1D79268E">
            <w:r>
              <w:t>77.79</w:t>
            </w:r>
          </w:p>
        </w:tc>
      </w:tr>
      <w:tr w14:paraId="468FAC5F">
        <w:tblPrEx>
          <w:tblCellMar>
            <w:top w:w="0" w:type="dxa"/>
            <w:left w:w="108" w:type="dxa"/>
            <w:bottom w:w="0" w:type="dxa"/>
            <w:right w:w="108" w:type="dxa"/>
          </w:tblCellMar>
        </w:tblPrEx>
        <w:tc>
          <w:tcPr>
            <w:tcW w:w="1881" w:type="dxa"/>
          </w:tcPr>
          <w:p w14:paraId="02E4F640">
            <w:r>
              <w:t>01638480</w:t>
            </w:r>
          </w:p>
        </w:tc>
        <w:tc>
          <w:tcPr>
            <w:tcW w:w="1881" w:type="dxa"/>
          </w:tcPr>
          <w:p w14:paraId="56411132">
            <w:r>
              <w:t>Potomac River at Harpers Ferry, WV</w:t>
            </w:r>
          </w:p>
        </w:tc>
        <w:tc>
          <w:tcPr>
            <w:tcW w:w="1881" w:type="dxa"/>
          </w:tcPr>
          <w:p w14:paraId="46B9650D">
            <w:r>
              <w:t>Midstream</w:t>
            </w:r>
          </w:p>
        </w:tc>
        <w:tc>
          <w:tcPr>
            <w:tcW w:w="1881" w:type="dxa"/>
          </w:tcPr>
          <w:p w14:paraId="60288256">
            <w:r>
              <w:t>39.32</w:t>
            </w:r>
          </w:p>
        </w:tc>
        <w:tc>
          <w:tcPr>
            <w:tcW w:w="1881" w:type="dxa"/>
          </w:tcPr>
          <w:p w14:paraId="1378860E">
            <w:r>
              <w:t>77.73</w:t>
            </w:r>
          </w:p>
        </w:tc>
      </w:tr>
    </w:tbl>
    <w:p w14:paraId="1CA592D7">
      <w:pPr>
        <w:spacing w:before="240" w:line="480" w:lineRule="auto"/>
        <w:ind w:firstLine="0"/>
        <w:jc w:val="left"/>
      </w:pPr>
      <w:r>
        <w:rPr>
          <w:rFonts w:ascii="Times New Roman" w:hAnsi="Times New Roman" w:eastAsia="Times New Roman"/>
          <w:b/>
          <w:i w:val="0"/>
          <w:sz w:val="24"/>
        </w:rPr>
        <w:t>2.2 Data sources</w:t>
      </w:r>
    </w:p>
    <w:p w14:paraId="12B96C64">
      <w:pPr>
        <w:spacing w:line="480" w:lineRule="auto"/>
        <w:ind w:firstLine="480"/>
        <w:jc w:val="both"/>
      </w:pPr>
      <w:r>
        <w:rPr>
          <w:rFonts w:ascii="Times New Roman" w:hAnsi="Times New Roman" w:eastAsia="Times New Roman"/>
          <w:b w:val="0"/>
          <w:i w:val="0"/>
          <w:sz w:val="24"/>
        </w:rPr>
        <w:t>Daily mean discharge (parameter 00060) was retrieved from the USGS National Water Information System for 1 January 2000 through 31 December 2023 (U.S. Geological Survey, 2024). Daily precipitation and 2-m air temperature at each gauge coordinate were obtained from the Open-Meteo historical archive (reanalysis-based). Using a common public API avoids licensing barriers and supports exact reproduction. Missing discharge values were removed by listwise deletion after merging; the resulting continuous Potomac panel is archived with the project scripts.</w:t>
      </w:r>
    </w:p>
    <w:p w14:paraId="267872EB">
      <w:pPr>
        <w:spacing w:line="480" w:lineRule="auto"/>
        <w:ind w:firstLine="480"/>
        <w:jc w:val="both"/>
      </w:pPr>
      <w:r>
        <w:rPr>
          <w:rFonts w:ascii="Times New Roman" w:hAnsi="Times New Roman" w:eastAsia="Times New Roman"/>
          <w:b w:val="0"/>
          <w:i w:val="0"/>
          <w:sz w:val="24"/>
        </w:rPr>
        <w:t>Model covariates for the full configuration are: local discharge, precipitation and temperature at Washington, plus discharge and precipitation at the two upstream sites (seven channels). Ablation experiments retain only the three local variables. All features enter as length-30 day sequences ending on day t when predicting discharge on day t+h, with h ∈ {1, 3, 7}.</w:t>
      </w:r>
    </w:p>
    <w:p w14:paraId="6DBCD008">
      <w:pPr>
        <w:spacing w:before="240" w:line="480" w:lineRule="auto"/>
        <w:ind w:firstLine="0"/>
        <w:jc w:val="left"/>
      </w:pPr>
      <w:r>
        <w:rPr>
          <w:rFonts w:ascii="Times New Roman" w:hAnsi="Times New Roman" w:eastAsia="Times New Roman"/>
          <w:b/>
          <w:i w:val="0"/>
          <w:sz w:val="24"/>
        </w:rPr>
        <w:t>2.3 Chronological split and scaling</w:t>
      </w:r>
    </w:p>
    <w:p w14:paraId="53B53430">
      <w:pPr>
        <w:spacing w:line="480" w:lineRule="auto"/>
        <w:ind w:firstLine="480"/>
        <w:jc w:val="both"/>
      </w:pPr>
      <w:r>
        <w:rPr>
          <w:rFonts w:ascii="Times New Roman" w:hAnsi="Times New Roman" w:eastAsia="Times New Roman"/>
          <w:b w:val="0"/>
          <w:i w:val="0"/>
          <w:sz w:val="24"/>
        </w:rPr>
        <w:t>To mimic operational deployment we adopt a chronological split: training data end on 31 December 2018; validation covers 2019–2020; testing covers 2021–2023. Features and targets are standardized using training-period means and variances only. Deep models are selected by minimum validation MSE; after selection, reported metrics use the held-out test years exclusively.</w:t>
      </w:r>
    </w:p>
    <w:p w14:paraId="3E9B8E44">
      <w:pPr>
        <w:spacing w:before="240" w:line="480" w:lineRule="auto"/>
        <w:ind w:firstLine="0"/>
        <w:jc w:val="left"/>
      </w:pPr>
      <w:r>
        <w:rPr>
          <w:rFonts w:ascii="Times New Roman" w:hAnsi="Times New Roman" w:eastAsia="Times New Roman"/>
          <w:b/>
          <w:i w:val="0"/>
          <w:sz w:val="24"/>
        </w:rPr>
        <w:t>2.4 Models</w:t>
      </w:r>
    </w:p>
    <w:p w14:paraId="41107EF3">
      <w:pPr>
        <w:spacing w:line="480" w:lineRule="auto"/>
        <w:ind w:firstLine="480"/>
        <w:jc w:val="both"/>
      </w:pPr>
      <w:r>
        <w:rPr>
          <w:rFonts w:ascii="Times New Roman" w:hAnsi="Times New Roman" w:eastAsia="Times New Roman"/>
          <w:b w:val="0"/>
          <w:i w:val="0"/>
          <w:sz w:val="24"/>
        </w:rPr>
        <w:t>Persistence uses Q(t) as the forecast of Q(t+h). XGBoost (Chen and Guestrin, 2016) receives flattened 30-day windows and is trained with 350 trees, maximum depth 6, and learning rate 0.05. LSTM uses two layers with hidden size 64 and dropout 0.2, trained with Adam (learning rate 1×10⁻³) and MSE loss. LSTM-Attention adds a learned temporal attention weight over LSTM hidden states before the final linear head. Deep models are retrained with three random seeds; ensemble-mean predictions are used for headline scores, and seed min–max ranges illustrate instability.</w:t>
      </w:r>
    </w:p>
    <w:p w14:paraId="501F0D10">
      <w:pPr>
        <w:spacing w:before="240" w:line="480" w:lineRule="auto"/>
        <w:ind w:firstLine="0"/>
        <w:jc w:val="left"/>
      </w:pPr>
      <w:r>
        <w:rPr>
          <w:rFonts w:ascii="Times New Roman" w:hAnsi="Times New Roman" w:eastAsia="Times New Roman"/>
          <w:b/>
          <w:i w:val="0"/>
          <w:sz w:val="24"/>
        </w:rPr>
        <w:t>2.5 Evaluation design</w:t>
      </w:r>
    </w:p>
    <w:p w14:paraId="695133FB">
      <w:pPr>
        <w:spacing w:line="480" w:lineRule="auto"/>
        <w:ind w:firstLine="480"/>
        <w:jc w:val="both"/>
      </w:pPr>
      <w:r>
        <w:rPr>
          <w:rFonts w:ascii="Times New Roman" w:hAnsi="Times New Roman" w:eastAsia="Times New Roman"/>
          <w:b w:val="0"/>
          <w:i w:val="0"/>
          <w:sz w:val="24"/>
        </w:rPr>
        <w:t>We report Nash–Sutcliffe efficiency (NSE; Nash and Sutcliffe, 1970), Kling–Gupta efficiency (KGE; Gupta et al., 2009), RMSE, MAE, and percent bias. Stratified NSE uses the 30th and 70th percentiles of observed test discharge to define low- and high-flow subsets. Seasonal NSE aggregates DJF/MAM/JJA/SON. For flood relevance we extract the largest non-overlapping observed peaks and compute relative peak magnitude error and peak-timing error (days). Permutation importance shuffles each covariate channel within sequences and records the resulting NSE drop for the 1-day LSTM-Attention model.</w:t>
      </w:r>
    </w:p>
    <w:p w14:paraId="64401717">
      <w:pPr>
        <w:spacing w:before="240" w:line="480" w:lineRule="auto"/>
        <w:ind w:firstLine="0"/>
        <w:jc w:val="left"/>
      </w:pPr>
      <w:r>
        <w:rPr>
          <w:rFonts w:ascii="Times New Roman" w:hAnsi="Times New Roman" w:eastAsia="Times New Roman"/>
          <w:b/>
          <w:i w:val="0"/>
          <w:sz w:val="24"/>
        </w:rPr>
        <w:t>3. Results</w:t>
      </w:r>
    </w:p>
    <w:p w14:paraId="098950C0">
      <w:pPr>
        <w:spacing w:before="240" w:line="480" w:lineRule="auto"/>
        <w:ind w:firstLine="0"/>
        <w:jc w:val="left"/>
      </w:pPr>
      <w:r>
        <w:rPr>
          <w:rFonts w:ascii="Times New Roman" w:hAnsi="Times New Roman" w:eastAsia="Times New Roman"/>
          <w:b/>
          <w:i w:val="0"/>
          <w:sz w:val="24"/>
        </w:rPr>
        <w:t>3.1 Multi-horizon skill</w:t>
      </w:r>
    </w:p>
    <w:p w14:paraId="1B9C8A5A">
      <w:pPr>
        <w:spacing w:line="480" w:lineRule="auto"/>
        <w:ind w:firstLine="480"/>
        <w:jc w:val="both"/>
      </w:pPr>
      <w:r>
        <w:rPr>
          <w:rFonts w:ascii="Times New Roman" w:hAnsi="Times New Roman" w:eastAsia="Times New Roman"/>
          <w:b w:val="0"/>
          <w:i w:val="0"/>
          <w:sz w:val="24"/>
        </w:rPr>
        <w:t>At the 1-day horizon, LSTM-Attention achieves NSE = 0.931 and RMSE = 2396 cfs, compared with XGBoost NSE = 0.910 and persistence NSE = 0.787 (Table 2; Fig. 2). The absolute margins are modest among learned models, yet all clearly beat persistence. At 3 days, skill decreases for every method (LSTM NSE = 0.543; XGBoost NSE = 0.458; LSTM-Attention NSE = 0.479). By 7 days, NSE remains low even for the best models (LSTM-Attention NSE = 0.196; XGBoost NSE = 0.071), indicating that recent upstream states alone cannot sustain weekly deterministic skill for this outlet without additional foresight (e.g., quantitative precipitation forecasts).</w:t>
      </w:r>
    </w:p>
    <w:p w14:paraId="069FD79B">
      <w:pPr>
        <w:spacing w:line="480" w:lineRule="auto"/>
        <w:jc w:val="center"/>
      </w:pPr>
      <w:r>
        <w:rPr>
          <w:rFonts w:ascii="Times New Roman" w:hAnsi="Times New Roman" w:eastAsia="Times New Roman"/>
          <w:b w:val="0"/>
          <w:i w:val="0"/>
          <w:sz w:val="22"/>
        </w:rPr>
        <w:t>Table 2. Test-period bulk skill at Washington, D.C. (2021–2023).</w:t>
      </w:r>
    </w:p>
    <w:tbl>
      <w:tblPr>
        <w:tblStyle w:val="32"/>
        <w:tblW w:w="0" w:type="auto"/>
        <w:tblInd w:w="0" w:type="dxa"/>
        <w:tblLayout w:type="autofit"/>
        <w:tblCellMar>
          <w:top w:w="0" w:type="dxa"/>
          <w:left w:w="108" w:type="dxa"/>
          <w:bottom w:w="0" w:type="dxa"/>
          <w:right w:w="108" w:type="dxa"/>
        </w:tblCellMar>
      </w:tblPr>
      <w:tblGrid>
        <w:gridCol w:w="1568"/>
        <w:gridCol w:w="1568"/>
        <w:gridCol w:w="1568"/>
        <w:gridCol w:w="1568"/>
        <w:gridCol w:w="1568"/>
        <w:gridCol w:w="1568"/>
      </w:tblGrid>
      <w:tr w14:paraId="6ABDB3A0">
        <w:tblPrEx>
          <w:tblCellMar>
            <w:top w:w="0" w:type="dxa"/>
            <w:left w:w="108" w:type="dxa"/>
            <w:bottom w:w="0" w:type="dxa"/>
            <w:right w:w="108" w:type="dxa"/>
          </w:tblCellMar>
        </w:tblPrEx>
        <w:tc>
          <w:tcPr>
            <w:tcW w:w="1568" w:type="dxa"/>
          </w:tcPr>
          <w:p w14:paraId="265D4324">
            <w:r>
              <w:t>Horizon (d)</w:t>
            </w:r>
          </w:p>
        </w:tc>
        <w:tc>
          <w:tcPr>
            <w:tcW w:w="1568" w:type="dxa"/>
          </w:tcPr>
          <w:p w14:paraId="06780771">
            <w:r>
              <w:t>Model</w:t>
            </w:r>
          </w:p>
        </w:tc>
        <w:tc>
          <w:tcPr>
            <w:tcW w:w="1568" w:type="dxa"/>
          </w:tcPr>
          <w:p w14:paraId="1C6AC24A">
            <w:r>
              <w:t>NSE</w:t>
            </w:r>
          </w:p>
        </w:tc>
        <w:tc>
          <w:tcPr>
            <w:tcW w:w="1568" w:type="dxa"/>
          </w:tcPr>
          <w:p w14:paraId="1EB48B82">
            <w:r>
              <w:t>KGE</w:t>
            </w:r>
          </w:p>
        </w:tc>
        <w:tc>
          <w:tcPr>
            <w:tcW w:w="1568" w:type="dxa"/>
          </w:tcPr>
          <w:p w14:paraId="3239F539">
            <w:r>
              <w:t>RMSE (cfs)</w:t>
            </w:r>
          </w:p>
        </w:tc>
        <w:tc>
          <w:tcPr>
            <w:tcW w:w="1568" w:type="dxa"/>
          </w:tcPr>
          <w:p w14:paraId="60ABC135">
            <w:r>
              <w:t>PBIAS (%)</w:t>
            </w:r>
          </w:p>
        </w:tc>
      </w:tr>
      <w:tr w14:paraId="616749E9">
        <w:tblPrEx>
          <w:tblCellMar>
            <w:top w:w="0" w:type="dxa"/>
            <w:left w:w="108" w:type="dxa"/>
            <w:bottom w:w="0" w:type="dxa"/>
            <w:right w:w="108" w:type="dxa"/>
          </w:tblCellMar>
        </w:tblPrEx>
        <w:tc>
          <w:tcPr>
            <w:tcW w:w="1568" w:type="dxa"/>
          </w:tcPr>
          <w:p w14:paraId="3A182EBF">
            <w:r>
              <w:t>1</w:t>
            </w:r>
          </w:p>
        </w:tc>
        <w:tc>
          <w:tcPr>
            <w:tcW w:w="1568" w:type="dxa"/>
          </w:tcPr>
          <w:p w14:paraId="168A7CF3">
            <w:r>
              <w:t>Persistence</w:t>
            </w:r>
          </w:p>
        </w:tc>
        <w:tc>
          <w:tcPr>
            <w:tcW w:w="1568" w:type="dxa"/>
          </w:tcPr>
          <w:p w14:paraId="4B387DE7">
            <w:r>
              <w:t>0.787</w:t>
            </w:r>
          </w:p>
        </w:tc>
        <w:tc>
          <w:tcPr>
            <w:tcW w:w="1568" w:type="dxa"/>
          </w:tcPr>
          <w:p w14:paraId="33345EB7">
            <w:r>
              <w:t>0.893</w:t>
            </w:r>
          </w:p>
        </w:tc>
        <w:tc>
          <w:tcPr>
            <w:tcW w:w="1568" w:type="dxa"/>
          </w:tcPr>
          <w:p w14:paraId="4E01FF48">
            <w:r>
              <w:t>4226</w:t>
            </w:r>
          </w:p>
        </w:tc>
        <w:tc>
          <w:tcPr>
            <w:tcW w:w="1568" w:type="dxa"/>
          </w:tcPr>
          <w:p w14:paraId="6D9692F5">
            <w:r>
              <w:t>0.10</w:t>
            </w:r>
          </w:p>
        </w:tc>
      </w:tr>
      <w:tr w14:paraId="5E9C9055">
        <w:tblPrEx>
          <w:tblCellMar>
            <w:top w:w="0" w:type="dxa"/>
            <w:left w:w="108" w:type="dxa"/>
            <w:bottom w:w="0" w:type="dxa"/>
            <w:right w:w="108" w:type="dxa"/>
          </w:tblCellMar>
        </w:tblPrEx>
        <w:tc>
          <w:tcPr>
            <w:tcW w:w="1568" w:type="dxa"/>
          </w:tcPr>
          <w:p w14:paraId="55D79E13">
            <w:r>
              <w:t>1</w:t>
            </w:r>
          </w:p>
        </w:tc>
        <w:tc>
          <w:tcPr>
            <w:tcW w:w="1568" w:type="dxa"/>
          </w:tcPr>
          <w:p w14:paraId="125BAF13">
            <w:r>
              <w:t>XGBoost</w:t>
            </w:r>
          </w:p>
        </w:tc>
        <w:tc>
          <w:tcPr>
            <w:tcW w:w="1568" w:type="dxa"/>
          </w:tcPr>
          <w:p w14:paraId="50A526E6">
            <w:r>
              <w:t>0.910</w:t>
            </w:r>
          </w:p>
        </w:tc>
        <w:tc>
          <w:tcPr>
            <w:tcW w:w="1568" w:type="dxa"/>
          </w:tcPr>
          <w:p w14:paraId="4D924254">
            <w:r>
              <w:t>0.938</w:t>
            </w:r>
          </w:p>
        </w:tc>
        <w:tc>
          <w:tcPr>
            <w:tcW w:w="1568" w:type="dxa"/>
          </w:tcPr>
          <w:p w14:paraId="4190A7A0">
            <w:r>
              <w:t>2741</w:t>
            </w:r>
          </w:p>
        </w:tc>
        <w:tc>
          <w:tcPr>
            <w:tcW w:w="1568" w:type="dxa"/>
          </w:tcPr>
          <w:p w14:paraId="5B420489">
            <w:r>
              <w:t>3.42</w:t>
            </w:r>
          </w:p>
        </w:tc>
      </w:tr>
      <w:tr w14:paraId="55CF058B">
        <w:tblPrEx>
          <w:tblCellMar>
            <w:top w:w="0" w:type="dxa"/>
            <w:left w:w="108" w:type="dxa"/>
            <w:bottom w:w="0" w:type="dxa"/>
            <w:right w:w="108" w:type="dxa"/>
          </w:tblCellMar>
        </w:tblPrEx>
        <w:tc>
          <w:tcPr>
            <w:tcW w:w="1568" w:type="dxa"/>
          </w:tcPr>
          <w:p w14:paraId="51FAB169">
            <w:r>
              <w:t>1</w:t>
            </w:r>
          </w:p>
        </w:tc>
        <w:tc>
          <w:tcPr>
            <w:tcW w:w="1568" w:type="dxa"/>
          </w:tcPr>
          <w:p w14:paraId="044CF6DC">
            <w:r>
              <w:t>LSTM</w:t>
            </w:r>
          </w:p>
        </w:tc>
        <w:tc>
          <w:tcPr>
            <w:tcW w:w="1568" w:type="dxa"/>
          </w:tcPr>
          <w:p w14:paraId="491A319D">
            <w:r>
              <w:t>0.923</w:t>
            </w:r>
          </w:p>
        </w:tc>
        <w:tc>
          <w:tcPr>
            <w:tcW w:w="1568" w:type="dxa"/>
          </w:tcPr>
          <w:p w14:paraId="2F3DC7D3">
            <w:r>
              <w:t>0.917</w:t>
            </w:r>
          </w:p>
        </w:tc>
        <w:tc>
          <w:tcPr>
            <w:tcW w:w="1568" w:type="dxa"/>
          </w:tcPr>
          <w:p w14:paraId="67ED88F2">
            <w:r>
              <w:t>2546</w:t>
            </w:r>
          </w:p>
        </w:tc>
        <w:tc>
          <w:tcPr>
            <w:tcW w:w="1568" w:type="dxa"/>
          </w:tcPr>
          <w:p w14:paraId="24826117">
            <w:r>
              <w:t>-0.07</w:t>
            </w:r>
          </w:p>
        </w:tc>
      </w:tr>
      <w:tr w14:paraId="4ACA16B7">
        <w:tblPrEx>
          <w:tblCellMar>
            <w:top w:w="0" w:type="dxa"/>
            <w:left w:w="108" w:type="dxa"/>
            <w:bottom w:w="0" w:type="dxa"/>
            <w:right w:w="108" w:type="dxa"/>
          </w:tblCellMar>
        </w:tblPrEx>
        <w:tc>
          <w:tcPr>
            <w:tcW w:w="1568" w:type="dxa"/>
          </w:tcPr>
          <w:p w14:paraId="3E63EF44">
            <w:r>
              <w:t>1</w:t>
            </w:r>
          </w:p>
        </w:tc>
        <w:tc>
          <w:tcPr>
            <w:tcW w:w="1568" w:type="dxa"/>
          </w:tcPr>
          <w:p w14:paraId="0E75EF99">
            <w:r>
              <w:t>LSTM-Attention</w:t>
            </w:r>
          </w:p>
        </w:tc>
        <w:tc>
          <w:tcPr>
            <w:tcW w:w="1568" w:type="dxa"/>
          </w:tcPr>
          <w:p w14:paraId="32FF3BE1">
            <w:r>
              <w:t>0.931</w:t>
            </w:r>
          </w:p>
        </w:tc>
        <w:tc>
          <w:tcPr>
            <w:tcW w:w="1568" w:type="dxa"/>
          </w:tcPr>
          <w:p w14:paraId="221D4284">
            <w:r>
              <w:t>0.918</w:t>
            </w:r>
          </w:p>
        </w:tc>
        <w:tc>
          <w:tcPr>
            <w:tcW w:w="1568" w:type="dxa"/>
          </w:tcPr>
          <w:p w14:paraId="472EEDF0">
            <w:r>
              <w:t>2396</w:t>
            </w:r>
          </w:p>
        </w:tc>
        <w:tc>
          <w:tcPr>
            <w:tcW w:w="1568" w:type="dxa"/>
          </w:tcPr>
          <w:p w14:paraId="4DE1EFB2">
            <w:r>
              <w:t>4.03</w:t>
            </w:r>
          </w:p>
        </w:tc>
      </w:tr>
      <w:tr w14:paraId="49FFFAC2">
        <w:tblPrEx>
          <w:tblCellMar>
            <w:top w:w="0" w:type="dxa"/>
            <w:left w:w="108" w:type="dxa"/>
            <w:bottom w:w="0" w:type="dxa"/>
            <w:right w:w="108" w:type="dxa"/>
          </w:tblCellMar>
        </w:tblPrEx>
        <w:tc>
          <w:tcPr>
            <w:tcW w:w="1568" w:type="dxa"/>
          </w:tcPr>
          <w:p w14:paraId="58C77CC7">
            <w:r>
              <w:t>3</w:t>
            </w:r>
          </w:p>
        </w:tc>
        <w:tc>
          <w:tcPr>
            <w:tcW w:w="1568" w:type="dxa"/>
          </w:tcPr>
          <w:p w14:paraId="678514C5">
            <w:r>
              <w:t>Persistence</w:t>
            </w:r>
          </w:p>
        </w:tc>
        <w:tc>
          <w:tcPr>
            <w:tcW w:w="1568" w:type="dxa"/>
          </w:tcPr>
          <w:p w14:paraId="4BECA23D">
            <w:r>
              <w:t>0.164</w:t>
            </w:r>
          </w:p>
        </w:tc>
        <w:tc>
          <w:tcPr>
            <w:tcW w:w="1568" w:type="dxa"/>
          </w:tcPr>
          <w:p w14:paraId="289077DF">
            <w:r>
              <w:t>0.584</w:t>
            </w:r>
          </w:p>
        </w:tc>
        <w:tc>
          <w:tcPr>
            <w:tcW w:w="1568" w:type="dxa"/>
          </w:tcPr>
          <w:p w14:paraId="01AED787">
            <w:r>
              <w:t>8366</w:t>
            </w:r>
          </w:p>
        </w:tc>
        <w:tc>
          <w:tcPr>
            <w:tcW w:w="1568" w:type="dxa"/>
          </w:tcPr>
          <w:p w14:paraId="4CA19230">
            <w:r>
              <w:t>0.50</w:t>
            </w:r>
          </w:p>
        </w:tc>
      </w:tr>
      <w:tr w14:paraId="2DB42BB6">
        <w:tblPrEx>
          <w:tblCellMar>
            <w:top w:w="0" w:type="dxa"/>
            <w:left w:w="108" w:type="dxa"/>
            <w:bottom w:w="0" w:type="dxa"/>
            <w:right w:w="108" w:type="dxa"/>
          </w:tblCellMar>
        </w:tblPrEx>
        <w:tc>
          <w:tcPr>
            <w:tcW w:w="1568" w:type="dxa"/>
          </w:tcPr>
          <w:p w14:paraId="62A99F3D">
            <w:r>
              <w:t>3</w:t>
            </w:r>
          </w:p>
        </w:tc>
        <w:tc>
          <w:tcPr>
            <w:tcW w:w="1568" w:type="dxa"/>
          </w:tcPr>
          <w:p w14:paraId="47085A39">
            <w:r>
              <w:t>XGBoost</w:t>
            </w:r>
          </w:p>
        </w:tc>
        <w:tc>
          <w:tcPr>
            <w:tcW w:w="1568" w:type="dxa"/>
          </w:tcPr>
          <w:p w14:paraId="7FEB195C">
            <w:r>
              <w:t>0.458</w:t>
            </w:r>
          </w:p>
        </w:tc>
        <w:tc>
          <w:tcPr>
            <w:tcW w:w="1568" w:type="dxa"/>
          </w:tcPr>
          <w:p w14:paraId="52701DE0">
            <w:r>
              <w:t>0.633</w:t>
            </w:r>
          </w:p>
        </w:tc>
        <w:tc>
          <w:tcPr>
            <w:tcW w:w="1568" w:type="dxa"/>
          </w:tcPr>
          <w:p w14:paraId="19C0D586">
            <w:r>
              <w:t>6736</w:t>
            </w:r>
          </w:p>
        </w:tc>
        <w:tc>
          <w:tcPr>
            <w:tcW w:w="1568" w:type="dxa"/>
          </w:tcPr>
          <w:p w14:paraId="3363CF2D">
            <w:r>
              <w:t>14.89</w:t>
            </w:r>
          </w:p>
        </w:tc>
      </w:tr>
      <w:tr w14:paraId="33531027">
        <w:tblPrEx>
          <w:tblCellMar>
            <w:top w:w="0" w:type="dxa"/>
            <w:left w:w="108" w:type="dxa"/>
            <w:bottom w:w="0" w:type="dxa"/>
            <w:right w:w="108" w:type="dxa"/>
          </w:tblCellMar>
        </w:tblPrEx>
        <w:tc>
          <w:tcPr>
            <w:tcW w:w="1568" w:type="dxa"/>
          </w:tcPr>
          <w:p w14:paraId="5EA62D2B">
            <w:r>
              <w:t>3</w:t>
            </w:r>
          </w:p>
        </w:tc>
        <w:tc>
          <w:tcPr>
            <w:tcW w:w="1568" w:type="dxa"/>
          </w:tcPr>
          <w:p w14:paraId="0D82EEC6">
            <w:r>
              <w:t>LSTM</w:t>
            </w:r>
          </w:p>
        </w:tc>
        <w:tc>
          <w:tcPr>
            <w:tcW w:w="1568" w:type="dxa"/>
          </w:tcPr>
          <w:p w14:paraId="793361A7">
            <w:r>
              <w:t>0.543</w:t>
            </w:r>
          </w:p>
        </w:tc>
        <w:tc>
          <w:tcPr>
            <w:tcW w:w="1568" w:type="dxa"/>
          </w:tcPr>
          <w:p w14:paraId="3E8832D0">
            <w:r>
              <w:t>0.662</w:t>
            </w:r>
          </w:p>
        </w:tc>
        <w:tc>
          <w:tcPr>
            <w:tcW w:w="1568" w:type="dxa"/>
          </w:tcPr>
          <w:p w14:paraId="6B1597AB">
            <w:r>
              <w:t>6187</w:t>
            </w:r>
          </w:p>
        </w:tc>
        <w:tc>
          <w:tcPr>
            <w:tcW w:w="1568" w:type="dxa"/>
          </w:tcPr>
          <w:p w14:paraId="707455F1">
            <w:r>
              <w:t>8.67</w:t>
            </w:r>
          </w:p>
        </w:tc>
      </w:tr>
      <w:tr w14:paraId="31A57178">
        <w:tblPrEx>
          <w:tblCellMar>
            <w:top w:w="0" w:type="dxa"/>
            <w:left w:w="108" w:type="dxa"/>
            <w:bottom w:w="0" w:type="dxa"/>
            <w:right w:w="108" w:type="dxa"/>
          </w:tblCellMar>
        </w:tblPrEx>
        <w:tc>
          <w:tcPr>
            <w:tcW w:w="1568" w:type="dxa"/>
          </w:tcPr>
          <w:p w14:paraId="37CE33BE">
            <w:r>
              <w:t>3</w:t>
            </w:r>
          </w:p>
        </w:tc>
        <w:tc>
          <w:tcPr>
            <w:tcW w:w="1568" w:type="dxa"/>
          </w:tcPr>
          <w:p w14:paraId="0DF4E4DE">
            <w:r>
              <w:t>LSTM-Attention</w:t>
            </w:r>
          </w:p>
        </w:tc>
        <w:tc>
          <w:tcPr>
            <w:tcW w:w="1568" w:type="dxa"/>
          </w:tcPr>
          <w:p w14:paraId="3CF6A507">
            <w:r>
              <w:t>0.479</w:t>
            </w:r>
          </w:p>
        </w:tc>
        <w:tc>
          <w:tcPr>
            <w:tcW w:w="1568" w:type="dxa"/>
          </w:tcPr>
          <w:p w14:paraId="685C818F">
            <w:r>
              <w:t>0.603</w:t>
            </w:r>
          </w:p>
        </w:tc>
        <w:tc>
          <w:tcPr>
            <w:tcW w:w="1568" w:type="dxa"/>
          </w:tcPr>
          <w:p w14:paraId="5036C2B2">
            <w:r>
              <w:t>6608</w:t>
            </w:r>
          </w:p>
        </w:tc>
        <w:tc>
          <w:tcPr>
            <w:tcW w:w="1568" w:type="dxa"/>
          </w:tcPr>
          <w:p w14:paraId="5A6E6A8C">
            <w:r>
              <w:t>15.69</w:t>
            </w:r>
          </w:p>
        </w:tc>
      </w:tr>
      <w:tr w14:paraId="406C0D85">
        <w:tblPrEx>
          <w:tblCellMar>
            <w:top w:w="0" w:type="dxa"/>
            <w:left w:w="108" w:type="dxa"/>
            <w:bottom w:w="0" w:type="dxa"/>
            <w:right w:w="108" w:type="dxa"/>
          </w:tblCellMar>
        </w:tblPrEx>
        <w:tc>
          <w:tcPr>
            <w:tcW w:w="1568" w:type="dxa"/>
          </w:tcPr>
          <w:p w14:paraId="5C153E0F">
            <w:r>
              <w:t>7</w:t>
            </w:r>
          </w:p>
        </w:tc>
        <w:tc>
          <w:tcPr>
            <w:tcW w:w="1568" w:type="dxa"/>
          </w:tcPr>
          <w:p w14:paraId="0CE14DD7">
            <w:r>
              <w:t>Persistence</w:t>
            </w:r>
          </w:p>
        </w:tc>
        <w:tc>
          <w:tcPr>
            <w:tcW w:w="1568" w:type="dxa"/>
          </w:tcPr>
          <w:p w14:paraId="65DFA157">
            <w:r>
              <w:t>-0.393</w:t>
            </w:r>
          </w:p>
        </w:tc>
        <w:tc>
          <w:tcPr>
            <w:tcW w:w="1568" w:type="dxa"/>
          </w:tcPr>
          <w:p w14:paraId="0F9872BE">
            <w:r>
              <w:t>0.342</w:t>
            </w:r>
          </w:p>
        </w:tc>
        <w:tc>
          <w:tcPr>
            <w:tcW w:w="1568" w:type="dxa"/>
          </w:tcPr>
          <w:p w14:paraId="0B5459C7">
            <w:r>
              <w:t>10802</w:t>
            </w:r>
          </w:p>
        </w:tc>
        <w:tc>
          <w:tcPr>
            <w:tcW w:w="1568" w:type="dxa"/>
          </w:tcPr>
          <w:p w14:paraId="39BBDFEE">
            <w:r>
              <w:t>2.89</w:t>
            </w:r>
          </w:p>
        </w:tc>
      </w:tr>
      <w:tr w14:paraId="4353295D">
        <w:tblPrEx>
          <w:tblCellMar>
            <w:top w:w="0" w:type="dxa"/>
            <w:left w:w="108" w:type="dxa"/>
            <w:bottom w:w="0" w:type="dxa"/>
            <w:right w:w="108" w:type="dxa"/>
          </w:tblCellMar>
        </w:tblPrEx>
        <w:tc>
          <w:tcPr>
            <w:tcW w:w="1568" w:type="dxa"/>
          </w:tcPr>
          <w:p w14:paraId="164D3064">
            <w:r>
              <w:t>7</w:t>
            </w:r>
          </w:p>
        </w:tc>
        <w:tc>
          <w:tcPr>
            <w:tcW w:w="1568" w:type="dxa"/>
          </w:tcPr>
          <w:p w14:paraId="74AFB32A">
            <w:r>
              <w:t>XGBoost</w:t>
            </w:r>
          </w:p>
        </w:tc>
        <w:tc>
          <w:tcPr>
            <w:tcW w:w="1568" w:type="dxa"/>
          </w:tcPr>
          <w:p w14:paraId="014988DB">
            <w:r>
              <w:t>0.071</w:t>
            </w:r>
          </w:p>
        </w:tc>
        <w:tc>
          <w:tcPr>
            <w:tcW w:w="1568" w:type="dxa"/>
          </w:tcPr>
          <w:p w14:paraId="5D0DFECC">
            <w:r>
              <w:t>0.372</w:t>
            </w:r>
          </w:p>
        </w:tc>
        <w:tc>
          <w:tcPr>
            <w:tcW w:w="1568" w:type="dxa"/>
          </w:tcPr>
          <w:p w14:paraId="0ECF507F">
            <w:r>
              <w:t>8820</w:t>
            </w:r>
          </w:p>
        </w:tc>
        <w:tc>
          <w:tcPr>
            <w:tcW w:w="1568" w:type="dxa"/>
          </w:tcPr>
          <w:p w14:paraId="500FECCC">
            <w:r>
              <w:t>28.20</w:t>
            </w:r>
          </w:p>
        </w:tc>
      </w:tr>
      <w:tr w14:paraId="0F7A9503">
        <w:tblPrEx>
          <w:tblCellMar>
            <w:top w:w="0" w:type="dxa"/>
            <w:left w:w="108" w:type="dxa"/>
            <w:bottom w:w="0" w:type="dxa"/>
            <w:right w:w="108" w:type="dxa"/>
          </w:tblCellMar>
        </w:tblPrEx>
        <w:tc>
          <w:tcPr>
            <w:tcW w:w="1568" w:type="dxa"/>
          </w:tcPr>
          <w:p w14:paraId="652B41FB">
            <w:r>
              <w:t>7</w:t>
            </w:r>
          </w:p>
        </w:tc>
        <w:tc>
          <w:tcPr>
            <w:tcW w:w="1568" w:type="dxa"/>
          </w:tcPr>
          <w:p w14:paraId="68259E60">
            <w:r>
              <w:t>LSTM</w:t>
            </w:r>
          </w:p>
        </w:tc>
        <w:tc>
          <w:tcPr>
            <w:tcW w:w="1568" w:type="dxa"/>
          </w:tcPr>
          <w:p w14:paraId="6F935FF3">
            <w:r>
              <w:t>0.141</w:t>
            </w:r>
          </w:p>
        </w:tc>
        <w:tc>
          <w:tcPr>
            <w:tcW w:w="1568" w:type="dxa"/>
          </w:tcPr>
          <w:p w14:paraId="3FC94839">
            <w:r>
              <w:t>0.397</w:t>
            </w:r>
          </w:p>
        </w:tc>
        <w:tc>
          <w:tcPr>
            <w:tcW w:w="1568" w:type="dxa"/>
          </w:tcPr>
          <w:p w14:paraId="19BBBCC8">
            <w:r>
              <w:t>8483</w:t>
            </w:r>
          </w:p>
        </w:tc>
        <w:tc>
          <w:tcPr>
            <w:tcW w:w="1568" w:type="dxa"/>
          </w:tcPr>
          <w:p w14:paraId="560F7691">
            <w:r>
              <w:t>19.01</w:t>
            </w:r>
          </w:p>
        </w:tc>
      </w:tr>
      <w:tr w14:paraId="30D2E402">
        <w:tblPrEx>
          <w:tblCellMar>
            <w:top w:w="0" w:type="dxa"/>
            <w:left w:w="108" w:type="dxa"/>
            <w:bottom w:w="0" w:type="dxa"/>
            <w:right w:w="108" w:type="dxa"/>
          </w:tblCellMar>
        </w:tblPrEx>
        <w:tc>
          <w:tcPr>
            <w:tcW w:w="1568" w:type="dxa"/>
          </w:tcPr>
          <w:p w14:paraId="0E968A91">
            <w:r>
              <w:t>7</w:t>
            </w:r>
          </w:p>
        </w:tc>
        <w:tc>
          <w:tcPr>
            <w:tcW w:w="1568" w:type="dxa"/>
          </w:tcPr>
          <w:p w14:paraId="7E4F997D">
            <w:r>
              <w:t>LSTM-Attention</w:t>
            </w:r>
          </w:p>
        </w:tc>
        <w:tc>
          <w:tcPr>
            <w:tcW w:w="1568" w:type="dxa"/>
          </w:tcPr>
          <w:p w14:paraId="785E1D83">
            <w:r>
              <w:t>0.196</w:t>
            </w:r>
          </w:p>
        </w:tc>
        <w:tc>
          <w:tcPr>
            <w:tcW w:w="1568" w:type="dxa"/>
          </w:tcPr>
          <w:p w14:paraId="6B240AB3">
            <w:r>
              <w:t>0.386</w:t>
            </w:r>
          </w:p>
        </w:tc>
        <w:tc>
          <w:tcPr>
            <w:tcW w:w="1568" w:type="dxa"/>
          </w:tcPr>
          <w:p w14:paraId="148FEA4C">
            <w:r>
              <w:t>8205</w:t>
            </w:r>
          </w:p>
        </w:tc>
        <w:tc>
          <w:tcPr>
            <w:tcW w:w="1568" w:type="dxa"/>
          </w:tcPr>
          <w:p w14:paraId="036AC985">
            <w:r>
              <w:t>24.22</w:t>
            </w:r>
          </w:p>
        </w:tc>
      </w:tr>
    </w:tbl>
    <w:p w14:paraId="6EC5CC5D">
      <w:pPr>
        <w:spacing w:line="480" w:lineRule="auto"/>
        <w:jc w:val="center"/>
      </w:pPr>
      <w:r>
        <w:rPr>
          <w:rFonts w:ascii="Times New Roman" w:hAnsi="Times New Roman" w:eastAsia="Times New Roman"/>
          <w:b w:val="0"/>
          <w:i w:val="0"/>
          <w:sz w:val="22"/>
        </w:rPr>
        <w:t>Table 3. Stratified NSE and peak-event errors (test period).</w:t>
      </w:r>
    </w:p>
    <w:tbl>
      <w:tblPr>
        <w:tblStyle w:val="32"/>
        <w:tblW w:w="0" w:type="auto"/>
        <w:tblInd w:w="0" w:type="dxa"/>
        <w:tblLayout w:type="autofit"/>
        <w:tblCellMar>
          <w:top w:w="0" w:type="dxa"/>
          <w:left w:w="108" w:type="dxa"/>
          <w:bottom w:w="0" w:type="dxa"/>
          <w:right w:w="108" w:type="dxa"/>
        </w:tblCellMar>
      </w:tblPr>
      <w:tblGrid>
        <w:gridCol w:w="1568"/>
        <w:gridCol w:w="1568"/>
        <w:gridCol w:w="1568"/>
        <w:gridCol w:w="1568"/>
        <w:gridCol w:w="1568"/>
        <w:gridCol w:w="1568"/>
      </w:tblGrid>
      <w:tr w14:paraId="539248DB">
        <w:tblPrEx>
          <w:tblCellMar>
            <w:top w:w="0" w:type="dxa"/>
            <w:left w:w="108" w:type="dxa"/>
            <w:bottom w:w="0" w:type="dxa"/>
            <w:right w:w="108" w:type="dxa"/>
          </w:tblCellMar>
        </w:tblPrEx>
        <w:tc>
          <w:tcPr>
            <w:tcW w:w="1568" w:type="dxa"/>
          </w:tcPr>
          <w:p w14:paraId="74F924AD">
            <w:r>
              <w:t>Horizon (d)</w:t>
            </w:r>
          </w:p>
        </w:tc>
        <w:tc>
          <w:tcPr>
            <w:tcW w:w="1568" w:type="dxa"/>
          </w:tcPr>
          <w:p w14:paraId="40BDD9A8">
            <w:r>
              <w:t>Model</w:t>
            </w:r>
          </w:p>
        </w:tc>
        <w:tc>
          <w:tcPr>
            <w:tcW w:w="1568" w:type="dxa"/>
          </w:tcPr>
          <w:p w14:paraId="57D3114B">
            <w:r>
              <w:t>NSE_low</w:t>
            </w:r>
          </w:p>
        </w:tc>
        <w:tc>
          <w:tcPr>
            <w:tcW w:w="1568" w:type="dxa"/>
          </w:tcPr>
          <w:p w14:paraId="48411BBB">
            <w:r>
              <w:t>NSE_high</w:t>
            </w:r>
          </w:p>
        </w:tc>
        <w:tc>
          <w:tcPr>
            <w:tcW w:w="1568" w:type="dxa"/>
          </w:tcPr>
          <w:p w14:paraId="4CF5FCEE">
            <w:r>
              <w:t>|Peak err| (%)</w:t>
            </w:r>
          </w:p>
        </w:tc>
        <w:tc>
          <w:tcPr>
            <w:tcW w:w="1568" w:type="dxa"/>
          </w:tcPr>
          <w:p w14:paraId="71C865F7">
            <w:r>
              <w:t>|Timing| (d)</w:t>
            </w:r>
          </w:p>
        </w:tc>
      </w:tr>
      <w:tr w14:paraId="2C297240">
        <w:tblPrEx>
          <w:tblCellMar>
            <w:top w:w="0" w:type="dxa"/>
            <w:left w:w="108" w:type="dxa"/>
            <w:bottom w:w="0" w:type="dxa"/>
            <w:right w:w="108" w:type="dxa"/>
          </w:tblCellMar>
        </w:tblPrEx>
        <w:tc>
          <w:tcPr>
            <w:tcW w:w="1568" w:type="dxa"/>
          </w:tcPr>
          <w:p w14:paraId="777A5834">
            <w:r>
              <w:t>1</w:t>
            </w:r>
          </w:p>
        </w:tc>
        <w:tc>
          <w:tcPr>
            <w:tcW w:w="1568" w:type="dxa"/>
          </w:tcPr>
          <w:p w14:paraId="4E57F193">
            <w:r>
              <w:t>Persistence</w:t>
            </w:r>
          </w:p>
        </w:tc>
        <w:tc>
          <w:tcPr>
            <w:tcW w:w="1568" w:type="dxa"/>
          </w:tcPr>
          <w:p w14:paraId="498A6A0C">
            <w:r>
              <w:t>0.861</w:t>
            </w:r>
          </w:p>
        </w:tc>
        <w:tc>
          <w:tcPr>
            <w:tcW w:w="1568" w:type="dxa"/>
          </w:tcPr>
          <w:p w14:paraId="7C019B64">
            <w:r>
              <w:t>0.619</w:t>
            </w:r>
          </w:p>
        </w:tc>
        <w:tc>
          <w:tcPr>
            <w:tcW w:w="1568" w:type="dxa"/>
          </w:tcPr>
          <w:p w14:paraId="5450E1D1">
            <w:r>
              <w:t>0.0</w:t>
            </w:r>
          </w:p>
        </w:tc>
        <w:tc>
          <w:tcPr>
            <w:tcW w:w="1568" w:type="dxa"/>
          </w:tcPr>
          <w:p w14:paraId="6A1EC242">
            <w:r>
              <w:t>1.00</w:t>
            </w:r>
          </w:p>
        </w:tc>
      </w:tr>
      <w:tr w14:paraId="3130F79E">
        <w:tblPrEx>
          <w:tblCellMar>
            <w:top w:w="0" w:type="dxa"/>
            <w:left w:w="108" w:type="dxa"/>
            <w:bottom w:w="0" w:type="dxa"/>
            <w:right w:w="108" w:type="dxa"/>
          </w:tblCellMar>
        </w:tblPrEx>
        <w:tc>
          <w:tcPr>
            <w:tcW w:w="1568" w:type="dxa"/>
          </w:tcPr>
          <w:p w14:paraId="54384C44">
            <w:r>
              <w:t>1</w:t>
            </w:r>
          </w:p>
        </w:tc>
        <w:tc>
          <w:tcPr>
            <w:tcW w:w="1568" w:type="dxa"/>
          </w:tcPr>
          <w:p w14:paraId="279BD433">
            <w:r>
              <w:t>XGBoost</w:t>
            </w:r>
          </w:p>
        </w:tc>
        <w:tc>
          <w:tcPr>
            <w:tcW w:w="1568" w:type="dxa"/>
          </w:tcPr>
          <w:p w14:paraId="52CB3793">
            <w:r>
              <w:t>0.695</w:t>
            </w:r>
          </w:p>
        </w:tc>
        <w:tc>
          <w:tcPr>
            <w:tcW w:w="1568" w:type="dxa"/>
          </w:tcPr>
          <w:p w14:paraId="6EFE0215">
            <w:r>
              <w:t>0.848</w:t>
            </w:r>
          </w:p>
        </w:tc>
        <w:tc>
          <w:tcPr>
            <w:tcW w:w="1568" w:type="dxa"/>
          </w:tcPr>
          <w:p w14:paraId="58576167">
            <w:r>
              <w:t>19.3</w:t>
            </w:r>
          </w:p>
        </w:tc>
        <w:tc>
          <w:tcPr>
            <w:tcW w:w="1568" w:type="dxa"/>
          </w:tcPr>
          <w:p w14:paraId="7B589115">
            <w:r>
              <w:t>0.62</w:t>
            </w:r>
          </w:p>
        </w:tc>
      </w:tr>
      <w:tr w14:paraId="126E1229">
        <w:tblPrEx>
          <w:tblCellMar>
            <w:top w:w="0" w:type="dxa"/>
            <w:left w:w="108" w:type="dxa"/>
            <w:bottom w:w="0" w:type="dxa"/>
            <w:right w:w="108" w:type="dxa"/>
          </w:tblCellMar>
        </w:tblPrEx>
        <w:tc>
          <w:tcPr>
            <w:tcW w:w="1568" w:type="dxa"/>
          </w:tcPr>
          <w:p w14:paraId="6CC3E00A">
            <w:r>
              <w:t>1</w:t>
            </w:r>
          </w:p>
        </w:tc>
        <w:tc>
          <w:tcPr>
            <w:tcW w:w="1568" w:type="dxa"/>
          </w:tcPr>
          <w:p w14:paraId="1FF0B1FC">
            <w:r>
              <w:t>LSTM</w:t>
            </w:r>
          </w:p>
        </w:tc>
        <w:tc>
          <w:tcPr>
            <w:tcW w:w="1568" w:type="dxa"/>
          </w:tcPr>
          <w:p w14:paraId="3EC29965">
            <w:r>
              <w:t>0.701</w:t>
            </w:r>
          </w:p>
        </w:tc>
        <w:tc>
          <w:tcPr>
            <w:tcW w:w="1568" w:type="dxa"/>
          </w:tcPr>
          <w:p w14:paraId="2274C713">
            <w:r>
              <w:t>0.869</w:t>
            </w:r>
          </w:p>
        </w:tc>
        <w:tc>
          <w:tcPr>
            <w:tcW w:w="1568" w:type="dxa"/>
          </w:tcPr>
          <w:p w14:paraId="2C92FF8D">
            <w:r>
              <w:t>20.2</w:t>
            </w:r>
          </w:p>
        </w:tc>
        <w:tc>
          <w:tcPr>
            <w:tcW w:w="1568" w:type="dxa"/>
          </w:tcPr>
          <w:p w14:paraId="19B675FB">
            <w:r>
              <w:t>0.50</w:t>
            </w:r>
          </w:p>
        </w:tc>
      </w:tr>
      <w:tr w14:paraId="6DCD7A17">
        <w:tblPrEx>
          <w:tblCellMar>
            <w:top w:w="0" w:type="dxa"/>
            <w:left w:w="108" w:type="dxa"/>
            <w:bottom w:w="0" w:type="dxa"/>
            <w:right w:w="108" w:type="dxa"/>
          </w:tblCellMar>
        </w:tblPrEx>
        <w:tc>
          <w:tcPr>
            <w:tcW w:w="1568" w:type="dxa"/>
          </w:tcPr>
          <w:p w14:paraId="0847A4D9">
            <w:r>
              <w:t>1</w:t>
            </w:r>
          </w:p>
        </w:tc>
        <w:tc>
          <w:tcPr>
            <w:tcW w:w="1568" w:type="dxa"/>
          </w:tcPr>
          <w:p w14:paraId="36D435D0">
            <w:r>
              <w:t>LSTM-Attention</w:t>
            </w:r>
          </w:p>
        </w:tc>
        <w:tc>
          <w:tcPr>
            <w:tcW w:w="1568" w:type="dxa"/>
          </w:tcPr>
          <w:p w14:paraId="2DEA4C7D">
            <w:r>
              <w:t>0.424</w:t>
            </w:r>
          </w:p>
        </w:tc>
        <w:tc>
          <w:tcPr>
            <w:tcW w:w="1568" w:type="dxa"/>
          </w:tcPr>
          <w:p w14:paraId="019C338E">
            <w:r>
              <w:t>0.888</w:t>
            </w:r>
          </w:p>
        </w:tc>
        <w:tc>
          <w:tcPr>
            <w:tcW w:w="1568" w:type="dxa"/>
          </w:tcPr>
          <w:p w14:paraId="2F9316CE">
            <w:r>
              <w:t>20.0</w:t>
            </w:r>
          </w:p>
        </w:tc>
        <w:tc>
          <w:tcPr>
            <w:tcW w:w="1568" w:type="dxa"/>
          </w:tcPr>
          <w:p w14:paraId="1175ABD0">
            <w:r>
              <w:t>0.25</w:t>
            </w:r>
          </w:p>
        </w:tc>
      </w:tr>
      <w:tr w14:paraId="1655D27B">
        <w:tblPrEx>
          <w:tblCellMar>
            <w:top w:w="0" w:type="dxa"/>
            <w:left w:w="108" w:type="dxa"/>
            <w:bottom w:w="0" w:type="dxa"/>
            <w:right w:w="108" w:type="dxa"/>
          </w:tblCellMar>
        </w:tblPrEx>
        <w:tc>
          <w:tcPr>
            <w:tcW w:w="1568" w:type="dxa"/>
          </w:tcPr>
          <w:p w14:paraId="4E69F345">
            <w:r>
              <w:t>3</w:t>
            </w:r>
          </w:p>
        </w:tc>
        <w:tc>
          <w:tcPr>
            <w:tcW w:w="1568" w:type="dxa"/>
          </w:tcPr>
          <w:p w14:paraId="337A786D">
            <w:r>
              <w:t>Persistence</w:t>
            </w:r>
          </w:p>
        </w:tc>
        <w:tc>
          <w:tcPr>
            <w:tcW w:w="1568" w:type="dxa"/>
          </w:tcPr>
          <w:p w14:paraId="286D5CDE">
            <w:r>
              <w:t>0.274</w:t>
            </w:r>
          </w:p>
        </w:tc>
        <w:tc>
          <w:tcPr>
            <w:tcW w:w="1568" w:type="dxa"/>
          </w:tcPr>
          <w:p w14:paraId="15D15A2D">
            <w:r>
              <w:t>-0.483</w:t>
            </w:r>
          </w:p>
        </w:tc>
        <w:tc>
          <w:tcPr>
            <w:tcW w:w="1568" w:type="dxa"/>
          </w:tcPr>
          <w:p w14:paraId="641AE4B4">
            <w:r>
              <w:t>0.0</w:t>
            </w:r>
          </w:p>
        </w:tc>
        <w:tc>
          <w:tcPr>
            <w:tcW w:w="1568" w:type="dxa"/>
          </w:tcPr>
          <w:p w14:paraId="4ADE40E3">
            <w:r>
              <w:t>3.00</w:t>
            </w:r>
          </w:p>
        </w:tc>
      </w:tr>
      <w:tr w14:paraId="23FFE259">
        <w:tblPrEx>
          <w:tblCellMar>
            <w:top w:w="0" w:type="dxa"/>
            <w:left w:w="108" w:type="dxa"/>
            <w:bottom w:w="0" w:type="dxa"/>
            <w:right w:w="108" w:type="dxa"/>
          </w:tblCellMar>
        </w:tblPrEx>
        <w:tc>
          <w:tcPr>
            <w:tcW w:w="1568" w:type="dxa"/>
          </w:tcPr>
          <w:p w14:paraId="3AE64A29">
            <w:r>
              <w:t>3</w:t>
            </w:r>
          </w:p>
        </w:tc>
        <w:tc>
          <w:tcPr>
            <w:tcW w:w="1568" w:type="dxa"/>
          </w:tcPr>
          <w:p w14:paraId="43A37B0D">
            <w:r>
              <w:t>XGBoost</w:t>
            </w:r>
          </w:p>
        </w:tc>
        <w:tc>
          <w:tcPr>
            <w:tcW w:w="1568" w:type="dxa"/>
          </w:tcPr>
          <w:p w14:paraId="655C1817">
            <w:r>
              <w:t>-2.782</w:t>
            </w:r>
          </w:p>
        </w:tc>
        <w:tc>
          <w:tcPr>
            <w:tcW w:w="1568" w:type="dxa"/>
          </w:tcPr>
          <w:p w14:paraId="2AE79C40">
            <w:r>
              <w:t>0.149</w:t>
            </w:r>
          </w:p>
        </w:tc>
        <w:tc>
          <w:tcPr>
            <w:tcW w:w="1568" w:type="dxa"/>
          </w:tcPr>
          <w:p w14:paraId="7654E3ED">
            <w:r>
              <w:t>30.1</w:t>
            </w:r>
          </w:p>
        </w:tc>
        <w:tc>
          <w:tcPr>
            <w:tcW w:w="1568" w:type="dxa"/>
          </w:tcPr>
          <w:p w14:paraId="7944F4FD">
            <w:r>
              <w:t>2.12</w:t>
            </w:r>
          </w:p>
        </w:tc>
      </w:tr>
      <w:tr w14:paraId="6D447E2B">
        <w:tblPrEx>
          <w:tblCellMar>
            <w:top w:w="0" w:type="dxa"/>
            <w:left w:w="108" w:type="dxa"/>
            <w:bottom w:w="0" w:type="dxa"/>
            <w:right w:w="108" w:type="dxa"/>
          </w:tblCellMar>
        </w:tblPrEx>
        <w:tc>
          <w:tcPr>
            <w:tcW w:w="1568" w:type="dxa"/>
          </w:tcPr>
          <w:p w14:paraId="65A85972">
            <w:r>
              <w:t>3</w:t>
            </w:r>
          </w:p>
        </w:tc>
        <w:tc>
          <w:tcPr>
            <w:tcW w:w="1568" w:type="dxa"/>
          </w:tcPr>
          <w:p w14:paraId="1735D990">
            <w:r>
              <w:t>LSTM</w:t>
            </w:r>
          </w:p>
        </w:tc>
        <w:tc>
          <w:tcPr>
            <w:tcW w:w="1568" w:type="dxa"/>
          </w:tcPr>
          <w:p w14:paraId="43027610">
            <w:r>
              <w:t>-0.986</w:t>
            </w:r>
          </w:p>
        </w:tc>
        <w:tc>
          <w:tcPr>
            <w:tcW w:w="1568" w:type="dxa"/>
          </w:tcPr>
          <w:p w14:paraId="3707A548">
            <w:r>
              <w:t>0.244</w:t>
            </w:r>
          </w:p>
        </w:tc>
        <w:tc>
          <w:tcPr>
            <w:tcW w:w="1568" w:type="dxa"/>
          </w:tcPr>
          <w:p w14:paraId="5369781F">
            <w:r>
              <w:t>31.1</w:t>
            </w:r>
          </w:p>
        </w:tc>
        <w:tc>
          <w:tcPr>
            <w:tcW w:w="1568" w:type="dxa"/>
          </w:tcPr>
          <w:p w14:paraId="49B34A1E">
            <w:r>
              <w:t>1.38</w:t>
            </w:r>
          </w:p>
        </w:tc>
      </w:tr>
      <w:tr w14:paraId="6F2C48CD">
        <w:tblPrEx>
          <w:tblCellMar>
            <w:top w:w="0" w:type="dxa"/>
            <w:left w:w="108" w:type="dxa"/>
            <w:bottom w:w="0" w:type="dxa"/>
            <w:right w:w="108" w:type="dxa"/>
          </w:tblCellMar>
        </w:tblPrEx>
        <w:tc>
          <w:tcPr>
            <w:tcW w:w="1568" w:type="dxa"/>
          </w:tcPr>
          <w:p w14:paraId="79EE2B25">
            <w:r>
              <w:t>3</w:t>
            </w:r>
          </w:p>
        </w:tc>
        <w:tc>
          <w:tcPr>
            <w:tcW w:w="1568" w:type="dxa"/>
          </w:tcPr>
          <w:p w14:paraId="4DC8093D">
            <w:r>
              <w:t>LSTM-Attention</w:t>
            </w:r>
          </w:p>
        </w:tc>
        <w:tc>
          <w:tcPr>
            <w:tcW w:w="1568" w:type="dxa"/>
          </w:tcPr>
          <w:p w14:paraId="68DC18BE">
            <w:r>
              <w:t>-4.499</w:t>
            </w:r>
          </w:p>
        </w:tc>
        <w:tc>
          <w:tcPr>
            <w:tcW w:w="1568" w:type="dxa"/>
          </w:tcPr>
          <w:p w14:paraId="6A050ED9">
            <w:r>
              <w:t>0.180</w:t>
            </w:r>
          </w:p>
        </w:tc>
        <w:tc>
          <w:tcPr>
            <w:tcW w:w="1568" w:type="dxa"/>
          </w:tcPr>
          <w:p w14:paraId="1A6A2754">
            <w:r>
              <w:t>38.2</w:t>
            </w:r>
          </w:p>
        </w:tc>
        <w:tc>
          <w:tcPr>
            <w:tcW w:w="1568" w:type="dxa"/>
          </w:tcPr>
          <w:p w14:paraId="31815AC7">
            <w:r>
              <w:t>1.25</w:t>
            </w:r>
          </w:p>
        </w:tc>
      </w:tr>
      <w:tr w14:paraId="10F9E5F2">
        <w:tblPrEx>
          <w:tblCellMar>
            <w:top w:w="0" w:type="dxa"/>
            <w:left w:w="108" w:type="dxa"/>
            <w:bottom w:w="0" w:type="dxa"/>
            <w:right w:w="108" w:type="dxa"/>
          </w:tblCellMar>
        </w:tblPrEx>
        <w:tc>
          <w:tcPr>
            <w:tcW w:w="1568" w:type="dxa"/>
          </w:tcPr>
          <w:p w14:paraId="1068F5AB">
            <w:r>
              <w:t>7</w:t>
            </w:r>
          </w:p>
        </w:tc>
        <w:tc>
          <w:tcPr>
            <w:tcW w:w="1568" w:type="dxa"/>
          </w:tcPr>
          <w:p w14:paraId="30DC5D7D">
            <w:r>
              <w:t>Persistence</w:t>
            </w:r>
          </w:p>
        </w:tc>
        <w:tc>
          <w:tcPr>
            <w:tcW w:w="1568" w:type="dxa"/>
          </w:tcPr>
          <w:p w14:paraId="14611FA2">
            <w:r>
              <w:t>-1.674</w:t>
            </w:r>
          </w:p>
        </w:tc>
        <w:tc>
          <w:tcPr>
            <w:tcW w:w="1568" w:type="dxa"/>
          </w:tcPr>
          <w:p w14:paraId="5991116D">
            <w:r>
              <w:t>-1.358</w:t>
            </w:r>
          </w:p>
        </w:tc>
        <w:tc>
          <w:tcPr>
            <w:tcW w:w="1568" w:type="dxa"/>
          </w:tcPr>
          <w:p w14:paraId="700AE263">
            <w:r>
              <w:t>67.5</w:t>
            </w:r>
          </w:p>
        </w:tc>
        <w:tc>
          <w:tcPr>
            <w:tcW w:w="1568" w:type="dxa"/>
          </w:tcPr>
          <w:p w14:paraId="7D65A335">
            <w:r>
              <w:t>3.88</w:t>
            </w:r>
          </w:p>
        </w:tc>
      </w:tr>
      <w:tr w14:paraId="3EA03448">
        <w:tblPrEx>
          <w:tblCellMar>
            <w:top w:w="0" w:type="dxa"/>
            <w:left w:w="108" w:type="dxa"/>
            <w:bottom w:w="0" w:type="dxa"/>
            <w:right w:w="108" w:type="dxa"/>
          </w:tblCellMar>
        </w:tblPrEx>
        <w:tc>
          <w:tcPr>
            <w:tcW w:w="1568" w:type="dxa"/>
          </w:tcPr>
          <w:p w14:paraId="5A159DE5">
            <w:r>
              <w:t>7</w:t>
            </w:r>
          </w:p>
        </w:tc>
        <w:tc>
          <w:tcPr>
            <w:tcW w:w="1568" w:type="dxa"/>
          </w:tcPr>
          <w:p w14:paraId="72566E87">
            <w:r>
              <w:t>XGBoost</w:t>
            </w:r>
          </w:p>
        </w:tc>
        <w:tc>
          <w:tcPr>
            <w:tcW w:w="1568" w:type="dxa"/>
          </w:tcPr>
          <w:p w14:paraId="16CE0D86">
            <w:r>
              <w:t>-10.283</w:t>
            </w:r>
          </w:p>
        </w:tc>
        <w:tc>
          <w:tcPr>
            <w:tcW w:w="1568" w:type="dxa"/>
          </w:tcPr>
          <w:p w14:paraId="59555DD6">
            <w:r>
              <w:t>-0.280</w:t>
            </w:r>
          </w:p>
        </w:tc>
        <w:tc>
          <w:tcPr>
            <w:tcW w:w="1568" w:type="dxa"/>
          </w:tcPr>
          <w:p w14:paraId="74F2C434">
            <w:r>
              <w:t>55.5</w:t>
            </w:r>
          </w:p>
        </w:tc>
        <w:tc>
          <w:tcPr>
            <w:tcW w:w="1568" w:type="dxa"/>
          </w:tcPr>
          <w:p w14:paraId="17933A74">
            <w:r>
              <w:t>3.50</w:t>
            </w:r>
          </w:p>
        </w:tc>
      </w:tr>
      <w:tr w14:paraId="578286D5">
        <w:tblPrEx>
          <w:tblCellMar>
            <w:top w:w="0" w:type="dxa"/>
            <w:left w:w="108" w:type="dxa"/>
            <w:bottom w:w="0" w:type="dxa"/>
            <w:right w:w="108" w:type="dxa"/>
          </w:tblCellMar>
        </w:tblPrEx>
        <w:tc>
          <w:tcPr>
            <w:tcW w:w="1568" w:type="dxa"/>
          </w:tcPr>
          <w:p w14:paraId="632A9302">
            <w:r>
              <w:t>7</w:t>
            </w:r>
          </w:p>
        </w:tc>
        <w:tc>
          <w:tcPr>
            <w:tcW w:w="1568" w:type="dxa"/>
          </w:tcPr>
          <w:p w14:paraId="17F04293">
            <w:r>
              <w:t>LSTM</w:t>
            </w:r>
          </w:p>
        </w:tc>
        <w:tc>
          <w:tcPr>
            <w:tcW w:w="1568" w:type="dxa"/>
          </w:tcPr>
          <w:p w14:paraId="6B5964F8">
            <w:r>
              <w:t>-3.016</w:t>
            </w:r>
          </w:p>
        </w:tc>
        <w:tc>
          <w:tcPr>
            <w:tcW w:w="1568" w:type="dxa"/>
          </w:tcPr>
          <w:p w14:paraId="5B58D5D6">
            <w:r>
              <w:t>-0.301</w:t>
            </w:r>
          </w:p>
        </w:tc>
        <w:tc>
          <w:tcPr>
            <w:tcW w:w="1568" w:type="dxa"/>
          </w:tcPr>
          <w:p w14:paraId="06C9251E">
            <w:r>
              <w:t>60.8</w:t>
            </w:r>
          </w:p>
        </w:tc>
        <w:tc>
          <w:tcPr>
            <w:tcW w:w="1568" w:type="dxa"/>
          </w:tcPr>
          <w:p w14:paraId="3EAB6D64">
            <w:r>
              <w:t>5.00</w:t>
            </w:r>
          </w:p>
        </w:tc>
      </w:tr>
      <w:tr w14:paraId="339F06AC">
        <w:tblPrEx>
          <w:tblCellMar>
            <w:top w:w="0" w:type="dxa"/>
            <w:left w:w="108" w:type="dxa"/>
            <w:bottom w:w="0" w:type="dxa"/>
            <w:right w:w="108" w:type="dxa"/>
          </w:tblCellMar>
        </w:tblPrEx>
        <w:tc>
          <w:tcPr>
            <w:tcW w:w="1568" w:type="dxa"/>
          </w:tcPr>
          <w:p w14:paraId="7D392511">
            <w:r>
              <w:t>7</w:t>
            </w:r>
          </w:p>
        </w:tc>
        <w:tc>
          <w:tcPr>
            <w:tcW w:w="1568" w:type="dxa"/>
          </w:tcPr>
          <w:p w14:paraId="2AFCDDF1">
            <w:r>
              <w:t>LSTM-Attention</w:t>
            </w:r>
          </w:p>
        </w:tc>
        <w:tc>
          <w:tcPr>
            <w:tcW w:w="1568" w:type="dxa"/>
          </w:tcPr>
          <w:p w14:paraId="31E38BB0">
            <w:r>
              <w:t>-12.404</w:t>
            </w:r>
          </w:p>
        </w:tc>
        <w:tc>
          <w:tcPr>
            <w:tcW w:w="1568" w:type="dxa"/>
          </w:tcPr>
          <w:p w14:paraId="150E1C3A">
            <w:r>
              <w:t>-0.114</w:t>
            </w:r>
          </w:p>
        </w:tc>
        <w:tc>
          <w:tcPr>
            <w:tcW w:w="1568" w:type="dxa"/>
          </w:tcPr>
          <w:p w14:paraId="73FE2CF9">
            <w:r>
              <w:t>69.5</w:t>
            </w:r>
          </w:p>
        </w:tc>
        <w:tc>
          <w:tcPr>
            <w:tcW w:w="1568" w:type="dxa"/>
          </w:tcPr>
          <w:p w14:paraId="1693ACEB">
            <w:r>
              <w:t>3.62</w:t>
            </w:r>
          </w:p>
        </w:tc>
      </w:tr>
    </w:tbl>
    <w:p w14:paraId="2F29070F">
      <w:pPr>
        <w:spacing w:line="480" w:lineRule="auto"/>
        <w:jc w:val="center"/>
      </w:pPr>
      <w:r>
        <w:rPr>
          <w:rFonts w:ascii="Times New Roman" w:hAnsi="Times New Roman" w:eastAsia="Times New Roman"/>
          <w:b w:val="0"/>
          <w:i w:val="0"/>
          <w:sz w:val="22"/>
        </w:rPr>
        <w:t>Table 4. Upstream ablation for LSTM-Attention (full network vs local-only inputs).</w:t>
      </w:r>
    </w:p>
    <w:tbl>
      <w:tblPr>
        <w:tblStyle w:val="32"/>
        <w:tblW w:w="0" w:type="auto"/>
        <w:tblInd w:w="0" w:type="dxa"/>
        <w:tblLayout w:type="autofit"/>
        <w:tblCellMar>
          <w:top w:w="0" w:type="dxa"/>
          <w:left w:w="108" w:type="dxa"/>
          <w:bottom w:w="0" w:type="dxa"/>
          <w:right w:w="108" w:type="dxa"/>
        </w:tblCellMar>
      </w:tblPr>
      <w:tblGrid>
        <w:gridCol w:w="1881"/>
        <w:gridCol w:w="1881"/>
        <w:gridCol w:w="1881"/>
        <w:gridCol w:w="1881"/>
        <w:gridCol w:w="1881"/>
      </w:tblGrid>
      <w:tr w14:paraId="7CCFDE83">
        <w:tblPrEx>
          <w:tblCellMar>
            <w:top w:w="0" w:type="dxa"/>
            <w:left w:w="108" w:type="dxa"/>
            <w:bottom w:w="0" w:type="dxa"/>
            <w:right w:w="108" w:type="dxa"/>
          </w:tblCellMar>
        </w:tblPrEx>
        <w:tc>
          <w:tcPr>
            <w:tcW w:w="1881" w:type="dxa"/>
          </w:tcPr>
          <w:p w14:paraId="286CA374">
            <w:r>
              <w:t>Horizon (d)</w:t>
            </w:r>
          </w:p>
        </w:tc>
        <w:tc>
          <w:tcPr>
            <w:tcW w:w="1881" w:type="dxa"/>
          </w:tcPr>
          <w:p w14:paraId="3605F6AD">
            <w:r>
              <w:t>NSE full</w:t>
            </w:r>
          </w:p>
        </w:tc>
        <w:tc>
          <w:tcPr>
            <w:tcW w:w="1881" w:type="dxa"/>
          </w:tcPr>
          <w:p w14:paraId="4F52C1DB">
            <w:r>
              <w:t>NSE local</w:t>
            </w:r>
          </w:p>
        </w:tc>
        <w:tc>
          <w:tcPr>
            <w:tcW w:w="1881" w:type="dxa"/>
          </w:tcPr>
          <w:p w14:paraId="4F6CAD03">
            <w:r>
              <w:t>ΔNSE</w:t>
            </w:r>
          </w:p>
        </w:tc>
        <w:tc>
          <w:tcPr>
            <w:tcW w:w="1881" w:type="dxa"/>
          </w:tcPr>
          <w:p w14:paraId="6DA926C3">
            <w:r>
              <w:t>RMSE full (cfs)</w:t>
            </w:r>
          </w:p>
        </w:tc>
      </w:tr>
      <w:tr w14:paraId="0A4B9CD9">
        <w:tblPrEx>
          <w:tblCellMar>
            <w:top w:w="0" w:type="dxa"/>
            <w:left w:w="108" w:type="dxa"/>
            <w:bottom w:w="0" w:type="dxa"/>
            <w:right w:w="108" w:type="dxa"/>
          </w:tblCellMar>
        </w:tblPrEx>
        <w:tc>
          <w:tcPr>
            <w:tcW w:w="1881" w:type="dxa"/>
          </w:tcPr>
          <w:p w14:paraId="2C665007">
            <w:r>
              <w:t>1</w:t>
            </w:r>
          </w:p>
        </w:tc>
        <w:tc>
          <w:tcPr>
            <w:tcW w:w="1881" w:type="dxa"/>
          </w:tcPr>
          <w:p w14:paraId="20DB45B3">
            <w:r>
              <w:t>0.931</w:t>
            </w:r>
          </w:p>
        </w:tc>
        <w:tc>
          <w:tcPr>
            <w:tcW w:w="1881" w:type="dxa"/>
          </w:tcPr>
          <w:p w14:paraId="4BE5AF70">
            <w:r>
              <w:t>0.907</w:t>
            </w:r>
          </w:p>
        </w:tc>
        <w:tc>
          <w:tcPr>
            <w:tcW w:w="1881" w:type="dxa"/>
          </w:tcPr>
          <w:p w14:paraId="33137F55">
            <w:r>
              <w:t>0.024</w:t>
            </w:r>
          </w:p>
        </w:tc>
        <w:tc>
          <w:tcPr>
            <w:tcW w:w="1881" w:type="dxa"/>
          </w:tcPr>
          <w:p w14:paraId="4523BDFA">
            <w:r>
              <w:t>2396</w:t>
            </w:r>
          </w:p>
        </w:tc>
      </w:tr>
      <w:tr w14:paraId="43026717">
        <w:tblPrEx>
          <w:tblCellMar>
            <w:top w:w="0" w:type="dxa"/>
            <w:left w:w="108" w:type="dxa"/>
            <w:bottom w:w="0" w:type="dxa"/>
            <w:right w:w="108" w:type="dxa"/>
          </w:tblCellMar>
        </w:tblPrEx>
        <w:tc>
          <w:tcPr>
            <w:tcW w:w="1881" w:type="dxa"/>
          </w:tcPr>
          <w:p w14:paraId="6E899186">
            <w:r>
              <w:t>3</w:t>
            </w:r>
          </w:p>
        </w:tc>
        <w:tc>
          <w:tcPr>
            <w:tcW w:w="1881" w:type="dxa"/>
          </w:tcPr>
          <w:p w14:paraId="578308B1">
            <w:r>
              <w:t>0.479</w:t>
            </w:r>
          </w:p>
        </w:tc>
        <w:tc>
          <w:tcPr>
            <w:tcW w:w="1881" w:type="dxa"/>
          </w:tcPr>
          <w:p w14:paraId="21D0D3D7">
            <w:r>
              <w:t>0.405</w:t>
            </w:r>
          </w:p>
        </w:tc>
        <w:tc>
          <w:tcPr>
            <w:tcW w:w="1881" w:type="dxa"/>
          </w:tcPr>
          <w:p w14:paraId="37ED4B97">
            <w:r>
              <w:t>0.073</w:t>
            </w:r>
          </w:p>
        </w:tc>
        <w:tc>
          <w:tcPr>
            <w:tcW w:w="1881" w:type="dxa"/>
          </w:tcPr>
          <w:p w14:paraId="5CA343B2">
            <w:r>
              <w:t>6608</w:t>
            </w:r>
          </w:p>
        </w:tc>
      </w:tr>
      <w:tr w14:paraId="248EFD3F">
        <w:tblPrEx>
          <w:tblCellMar>
            <w:top w:w="0" w:type="dxa"/>
            <w:left w:w="108" w:type="dxa"/>
            <w:bottom w:w="0" w:type="dxa"/>
            <w:right w:w="108" w:type="dxa"/>
          </w:tblCellMar>
        </w:tblPrEx>
        <w:tc>
          <w:tcPr>
            <w:tcW w:w="1881" w:type="dxa"/>
          </w:tcPr>
          <w:p w14:paraId="58BEB2E6">
            <w:r>
              <w:t>7</w:t>
            </w:r>
          </w:p>
        </w:tc>
        <w:tc>
          <w:tcPr>
            <w:tcW w:w="1881" w:type="dxa"/>
          </w:tcPr>
          <w:p w14:paraId="0F712502">
            <w:r>
              <w:t>0.196</w:t>
            </w:r>
          </w:p>
        </w:tc>
        <w:tc>
          <w:tcPr>
            <w:tcW w:w="1881" w:type="dxa"/>
          </w:tcPr>
          <w:p w14:paraId="12144EE1">
            <w:r>
              <w:t>-0.027</w:t>
            </w:r>
          </w:p>
        </w:tc>
        <w:tc>
          <w:tcPr>
            <w:tcW w:w="1881" w:type="dxa"/>
          </w:tcPr>
          <w:p w14:paraId="6CF88008">
            <w:r>
              <w:t>0.223</w:t>
            </w:r>
          </w:p>
        </w:tc>
        <w:tc>
          <w:tcPr>
            <w:tcW w:w="1881" w:type="dxa"/>
          </w:tcPr>
          <w:p w14:paraId="30F795A8">
            <w:r>
              <w:t>8205</w:t>
            </w:r>
          </w:p>
        </w:tc>
      </w:tr>
    </w:tbl>
    <w:p w14:paraId="5371487B">
      <w:pPr>
        <w:spacing w:line="480" w:lineRule="auto"/>
        <w:jc w:val="center"/>
      </w:pPr>
      <w:r>
        <w:rPr>
          <w:rFonts w:ascii="Times New Roman" w:hAnsi="Times New Roman" w:eastAsia="Times New Roman"/>
          <w:b w:val="0"/>
          <w:i w:val="0"/>
          <w:sz w:val="22"/>
        </w:rPr>
        <w:t>Table 5. Seasonal NSE for LSTM-Attention (DJF/MAM/JJA/SON).</w:t>
      </w:r>
    </w:p>
    <w:tbl>
      <w:tblPr>
        <w:tblStyle w:val="32"/>
        <w:tblW w:w="0" w:type="auto"/>
        <w:tblInd w:w="0" w:type="dxa"/>
        <w:tblLayout w:type="autofit"/>
        <w:tblCellMar>
          <w:top w:w="0" w:type="dxa"/>
          <w:left w:w="108" w:type="dxa"/>
          <w:bottom w:w="0" w:type="dxa"/>
          <w:right w:w="108" w:type="dxa"/>
        </w:tblCellMar>
      </w:tblPr>
      <w:tblGrid>
        <w:gridCol w:w="1881"/>
        <w:gridCol w:w="1881"/>
        <w:gridCol w:w="1881"/>
        <w:gridCol w:w="1881"/>
        <w:gridCol w:w="1881"/>
      </w:tblGrid>
      <w:tr w14:paraId="22184A0B">
        <w:tblPrEx>
          <w:tblCellMar>
            <w:top w:w="0" w:type="dxa"/>
            <w:left w:w="108" w:type="dxa"/>
            <w:bottom w:w="0" w:type="dxa"/>
            <w:right w:w="108" w:type="dxa"/>
          </w:tblCellMar>
        </w:tblPrEx>
        <w:tc>
          <w:tcPr>
            <w:tcW w:w="1881" w:type="dxa"/>
          </w:tcPr>
          <w:p w14:paraId="0DB52DEE">
            <w:r>
              <w:t>Horizon (d)</w:t>
            </w:r>
          </w:p>
        </w:tc>
        <w:tc>
          <w:tcPr>
            <w:tcW w:w="1881" w:type="dxa"/>
          </w:tcPr>
          <w:p w14:paraId="2A9CD634">
            <w:r>
              <w:t>DJF</w:t>
            </w:r>
          </w:p>
        </w:tc>
        <w:tc>
          <w:tcPr>
            <w:tcW w:w="1881" w:type="dxa"/>
          </w:tcPr>
          <w:p w14:paraId="064F16B7">
            <w:r>
              <w:t>MAM</w:t>
            </w:r>
          </w:p>
        </w:tc>
        <w:tc>
          <w:tcPr>
            <w:tcW w:w="1881" w:type="dxa"/>
          </w:tcPr>
          <w:p w14:paraId="6C7FDA87">
            <w:r>
              <w:t>JJA</w:t>
            </w:r>
          </w:p>
        </w:tc>
        <w:tc>
          <w:tcPr>
            <w:tcW w:w="1881" w:type="dxa"/>
          </w:tcPr>
          <w:p w14:paraId="293D2518">
            <w:r>
              <w:t>SON</w:t>
            </w:r>
          </w:p>
        </w:tc>
      </w:tr>
      <w:tr w14:paraId="724C2D3F">
        <w:tblPrEx>
          <w:tblCellMar>
            <w:top w:w="0" w:type="dxa"/>
            <w:left w:w="108" w:type="dxa"/>
            <w:bottom w:w="0" w:type="dxa"/>
            <w:right w:w="108" w:type="dxa"/>
          </w:tblCellMar>
        </w:tblPrEx>
        <w:tc>
          <w:tcPr>
            <w:tcW w:w="1881" w:type="dxa"/>
          </w:tcPr>
          <w:p w14:paraId="50A9154F">
            <w:r>
              <w:t>1</w:t>
            </w:r>
          </w:p>
        </w:tc>
        <w:tc>
          <w:tcPr>
            <w:tcW w:w="1881" w:type="dxa"/>
          </w:tcPr>
          <w:p w14:paraId="5FD11213">
            <w:r>
              <w:t>0.874</w:t>
            </w:r>
          </w:p>
        </w:tc>
        <w:tc>
          <w:tcPr>
            <w:tcW w:w="1881" w:type="dxa"/>
          </w:tcPr>
          <w:p w14:paraId="2BE7DF00">
            <w:r>
              <w:t>0.947</w:t>
            </w:r>
          </w:p>
        </w:tc>
        <w:tc>
          <w:tcPr>
            <w:tcW w:w="1881" w:type="dxa"/>
          </w:tcPr>
          <w:p w14:paraId="2526171F">
            <w:r>
              <w:t>0.784</w:t>
            </w:r>
          </w:p>
        </w:tc>
        <w:tc>
          <w:tcPr>
            <w:tcW w:w="1881" w:type="dxa"/>
          </w:tcPr>
          <w:p w14:paraId="16F224CD">
            <w:r>
              <w:t>0.845</w:t>
            </w:r>
          </w:p>
        </w:tc>
      </w:tr>
      <w:tr w14:paraId="4F8BE32A">
        <w:tc>
          <w:tcPr>
            <w:tcW w:w="1881" w:type="dxa"/>
          </w:tcPr>
          <w:p w14:paraId="1A1B40A3">
            <w:r>
              <w:t>3</w:t>
            </w:r>
          </w:p>
        </w:tc>
        <w:tc>
          <w:tcPr>
            <w:tcW w:w="1881" w:type="dxa"/>
          </w:tcPr>
          <w:p w14:paraId="3A73E025">
            <w:r>
              <w:t>0.190</w:t>
            </w:r>
          </w:p>
        </w:tc>
        <w:tc>
          <w:tcPr>
            <w:tcW w:w="1881" w:type="dxa"/>
          </w:tcPr>
          <w:p w14:paraId="1470D674">
            <w:r>
              <w:t>0.446</w:t>
            </w:r>
          </w:p>
        </w:tc>
        <w:tc>
          <w:tcPr>
            <w:tcW w:w="1881" w:type="dxa"/>
          </w:tcPr>
          <w:p w14:paraId="62DFA25D">
            <w:r>
              <w:t>-0.151</w:t>
            </w:r>
          </w:p>
        </w:tc>
        <w:tc>
          <w:tcPr>
            <w:tcW w:w="1881" w:type="dxa"/>
          </w:tcPr>
          <w:p w14:paraId="47C47F7F">
            <w:r>
              <w:t>0.186</w:t>
            </w:r>
          </w:p>
        </w:tc>
      </w:tr>
      <w:tr w14:paraId="21D4B792">
        <w:tblPrEx>
          <w:tblCellMar>
            <w:top w:w="0" w:type="dxa"/>
            <w:left w:w="108" w:type="dxa"/>
            <w:bottom w:w="0" w:type="dxa"/>
            <w:right w:w="108" w:type="dxa"/>
          </w:tblCellMar>
        </w:tblPrEx>
        <w:tc>
          <w:tcPr>
            <w:tcW w:w="1881" w:type="dxa"/>
          </w:tcPr>
          <w:p w14:paraId="7717867C">
            <w:r>
              <w:t>7</w:t>
            </w:r>
          </w:p>
        </w:tc>
        <w:tc>
          <w:tcPr>
            <w:tcW w:w="1881" w:type="dxa"/>
          </w:tcPr>
          <w:p w14:paraId="232A6935">
            <w:r>
              <w:t>-0.094</w:t>
            </w:r>
          </w:p>
        </w:tc>
        <w:tc>
          <w:tcPr>
            <w:tcW w:w="1881" w:type="dxa"/>
          </w:tcPr>
          <w:p w14:paraId="219C472E">
            <w:r>
              <w:t>0.060</w:t>
            </w:r>
          </w:p>
        </w:tc>
        <w:tc>
          <w:tcPr>
            <w:tcW w:w="1881" w:type="dxa"/>
          </w:tcPr>
          <w:p w14:paraId="41B7BF1D">
            <w:r>
              <w:t>-1.282</w:t>
            </w:r>
          </w:p>
        </w:tc>
        <w:tc>
          <w:tcPr>
            <w:tcW w:w="1881" w:type="dxa"/>
          </w:tcPr>
          <w:p w14:paraId="05073B79">
            <w:r>
              <w:t>-0.033</w:t>
            </w:r>
          </w:p>
        </w:tc>
      </w:tr>
    </w:tbl>
    <w:p w14:paraId="5A0B74C9">
      <w:pPr>
        <w:spacing w:line="480" w:lineRule="auto"/>
        <w:jc w:val="center"/>
      </w:pPr>
      <w:r>
        <w:rPr>
          <w:rFonts w:ascii="Times New Roman" w:hAnsi="Times New Roman" w:eastAsia="Times New Roman"/>
          <w:b w:val="0"/>
          <w:i w:val="0"/>
          <w:sz w:val="22"/>
        </w:rPr>
        <w:t>Table 6. Selected observed peak events and 1-day LSTM-Attention peak errors.</w:t>
      </w:r>
    </w:p>
    <w:tbl>
      <w:tblPr>
        <w:tblStyle w:val="32"/>
        <w:tblW w:w="0" w:type="auto"/>
        <w:tblInd w:w="0" w:type="dxa"/>
        <w:tblLayout w:type="autofit"/>
        <w:tblCellMar>
          <w:top w:w="0" w:type="dxa"/>
          <w:left w:w="108" w:type="dxa"/>
          <w:bottom w:w="0" w:type="dxa"/>
          <w:right w:w="108" w:type="dxa"/>
        </w:tblCellMar>
      </w:tblPr>
      <w:tblGrid>
        <w:gridCol w:w="1881"/>
        <w:gridCol w:w="1881"/>
        <w:gridCol w:w="1881"/>
        <w:gridCol w:w="1881"/>
        <w:gridCol w:w="1881"/>
      </w:tblGrid>
      <w:tr w14:paraId="7A8B4E90">
        <w:tblPrEx>
          <w:tblCellMar>
            <w:top w:w="0" w:type="dxa"/>
            <w:left w:w="108" w:type="dxa"/>
            <w:bottom w:w="0" w:type="dxa"/>
            <w:right w:w="108" w:type="dxa"/>
          </w:tblCellMar>
        </w:tblPrEx>
        <w:tc>
          <w:tcPr>
            <w:tcW w:w="1881" w:type="dxa"/>
          </w:tcPr>
          <w:p w14:paraId="52FF156A">
            <w:r>
              <w:t>Date</w:t>
            </w:r>
          </w:p>
        </w:tc>
        <w:tc>
          <w:tcPr>
            <w:tcW w:w="1881" w:type="dxa"/>
          </w:tcPr>
          <w:p w14:paraId="5D066F12">
            <w:r>
              <w:t>Q_obs (cfs)</w:t>
            </w:r>
          </w:p>
        </w:tc>
        <w:tc>
          <w:tcPr>
            <w:tcW w:w="1881" w:type="dxa"/>
          </w:tcPr>
          <w:p w14:paraId="6BDA54A4">
            <w:r>
              <w:t>Q_sim (cfs)</w:t>
            </w:r>
          </w:p>
        </w:tc>
        <w:tc>
          <w:tcPr>
            <w:tcW w:w="1881" w:type="dxa"/>
          </w:tcPr>
          <w:p w14:paraId="743BA8DF">
            <w:r>
              <w:t>Rel. err (%)</w:t>
            </w:r>
          </w:p>
        </w:tc>
        <w:tc>
          <w:tcPr>
            <w:tcW w:w="1881" w:type="dxa"/>
          </w:tcPr>
          <w:p w14:paraId="67D137C1">
            <w:r>
              <w:t>Timing (d)</w:t>
            </w:r>
          </w:p>
        </w:tc>
      </w:tr>
      <w:tr w14:paraId="1C0C3372">
        <w:tblPrEx>
          <w:tblCellMar>
            <w:top w:w="0" w:type="dxa"/>
            <w:left w:w="108" w:type="dxa"/>
            <w:bottom w:w="0" w:type="dxa"/>
            <w:right w:w="108" w:type="dxa"/>
          </w:tblCellMar>
        </w:tblPrEx>
        <w:tc>
          <w:tcPr>
            <w:tcW w:w="1881" w:type="dxa"/>
          </w:tcPr>
          <w:p w14:paraId="7C7D0322">
            <w:r>
              <w:t>2022-05-09</w:t>
            </w:r>
          </w:p>
        </w:tc>
        <w:tc>
          <w:tcPr>
            <w:tcW w:w="1881" w:type="dxa"/>
          </w:tcPr>
          <w:p w14:paraId="16FFEE85">
            <w:r>
              <w:t>102000</w:t>
            </w:r>
          </w:p>
        </w:tc>
        <w:tc>
          <w:tcPr>
            <w:tcW w:w="1881" w:type="dxa"/>
          </w:tcPr>
          <w:p w14:paraId="28BE47C7">
            <w:r>
              <w:t>94142</w:t>
            </w:r>
          </w:p>
        </w:tc>
        <w:tc>
          <w:tcPr>
            <w:tcW w:w="1881" w:type="dxa"/>
          </w:tcPr>
          <w:p w14:paraId="1A51E942">
            <w:r>
              <w:t>-7.7</w:t>
            </w:r>
          </w:p>
        </w:tc>
        <w:tc>
          <w:tcPr>
            <w:tcW w:w="1881" w:type="dxa"/>
          </w:tcPr>
          <w:p w14:paraId="117FED81">
            <w:r>
              <w:t>0</w:t>
            </w:r>
          </w:p>
        </w:tc>
      </w:tr>
      <w:tr w14:paraId="23A8BD82">
        <w:tc>
          <w:tcPr>
            <w:tcW w:w="1881" w:type="dxa"/>
          </w:tcPr>
          <w:p w14:paraId="4263FD52">
            <w:r>
              <w:t>2021-03-02</w:t>
            </w:r>
          </w:p>
        </w:tc>
        <w:tc>
          <w:tcPr>
            <w:tcW w:w="1881" w:type="dxa"/>
          </w:tcPr>
          <w:p w14:paraId="11658537">
            <w:r>
              <w:t>89700</w:t>
            </w:r>
          </w:p>
        </w:tc>
        <w:tc>
          <w:tcPr>
            <w:tcW w:w="1881" w:type="dxa"/>
          </w:tcPr>
          <w:p w14:paraId="5CA443C5">
            <w:r>
              <w:t>79299</w:t>
            </w:r>
          </w:p>
        </w:tc>
        <w:tc>
          <w:tcPr>
            <w:tcW w:w="1881" w:type="dxa"/>
          </w:tcPr>
          <w:p w14:paraId="4A9EA3F9">
            <w:r>
              <w:t>-11.6</w:t>
            </w:r>
          </w:p>
        </w:tc>
        <w:tc>
          <w:tcPr>
            <w:tcW w:w="1881" w:type="dxa"/>
          </w:tcPr>
          <w:p w14:paraId="48EC9BA6">
            <w:r>
              <w:t>1</w:t>
            </w:r>
          </w:p>
        </w:tc>
      </w:tr>
      <w:tr w14:paraId="7FC7CA15">
        <w:tblPrEx>
          <w:tblCellMar>
            <w:top w:w="0" w:type="dxa"/>
            <w:left w:w="108" w:type="dxa"/>
            <w:bottom w:w="0" w:type="dxa"/>
            <w:right w:w="108" w:type="dxa"/>
          </w:tblCellMar>
        </w:tblPrEx>
        <w:tc>
          <w:tcPr>
            <w:tcW w:w="1881" w:type="dxa"/>
          </w:tcPr>
          <w:p w14:paraId="7DF5228A">
            <w:r>
              <w:t>2021-09-03</w:t>
            </w:r>
          </w:p>
        </w:tc>
        <w:tc>
          <w:tcPr>
            <w:tcW w:w="1881" w:type="dxa"/>
          </w:tcPr>
          <w:p w14:paraId="6FC99135">
            <w:r>
              <w:t>74300</w:t>
            </w:r>
          </w:p>
        </w:tc>
        <w:tc>
          <w:tcPr>
            <w:tcW w:w="1881" w:type="dxa"/>
          </w:tcPr>
          <w:p w14:paraId="351F3B64">
            <w:r>
              <w:t>40871</w:t>
            </w:r>
          </w:p>
        </w:tc>
        <w:tc>
          <w:tcPr>
            <w:tcW w:w="1881" w:type="dxa"/>
          </w:tcPr>
          <w:p w14:paraId="396C2F96">
            <w:r>
              <w:t>-45.0</w:t>
            </w:r>
          </w:p>
        </w:tc>
        <w:tc>
          <w:tcPr>
            <w:tcW w:w="1881" w:type="dxa"/>
          </w:tcPr>
          <w:p w14:paraId="37291116">
            <w:r>
              <w:t>0</w:t>
            </w:r>
          </w:p>
        </w:tc>
      </w:tr>
      <w:tr w14:paraId="6A58F2F5">
        <w:tblPrEx>
          <w:tblCellMar>
            <w:top w:w="0" w:type="dxa"/>
            <w:left w:w="108" w:type="dxa"/>
            <w:bottom w:w="0" w:type="dxa"/>
            <w:right w:w="108" w:type="dxa"/>
          </w:tblCellMar>
        </w:tblPrEx>
        <w:tc>
          <w:tcPr>
            <w:tcW w:w="1881" w:type="dxa"/>
          </w:tcPr>
          <w:p w14:paraId="44149D59">
            <w:r>
              <w:t>2022-04-09</w:t>
            </w:r>
          </w:p>
        </w:tc>
        <w:tc>
          <w:tcPr>
            <w:tcW w:w="1881" w:type="dxa"/>
          </w:tcPr>
          <w:p w14:paraId="11128604">
            <w:r>
              <w:t>46500</w:t>
            </w:r>
          </w:p>
        </w:tc>
        <w:tc>
          <w:tcPr>
            <w:tcW w:w="1881" w:type="dxa"/>
          </w:tcPr>
          <w:p w14:paraId="426A2AB5">
            <w:r>
              <w:t>47808</w:t>
            </w:r>
          </w:p>
        </w:tc>
        <w:tc>
          <w:tcPr>
            <w:tcW w:w="1881" w:type="dxa"/>
          </w:tcPr>
          <w:p w14:paraId="226154AB">
            <w:r>
              <w:t>2.8</w:t>
            </w:r>
          </w:p>
        </w:tc>
        <w:tc>
          <w:tcPr>
            <w:tcW w:w="1881" w:type="dxa"/>
          </w:tcPr>
          <w:p w14:paraId="45CE42FC">
            <w:r>
              <w:t>0</w:t>
            </w:r>
          </w:p>
        </w:tc>
      </w:tr>
      <w:tr w14:paraId="6D220C42">
        <w:tblPrEx>
          <w:tblCellMar>
            <w:top w:w="0" w:type="dxa"/>
            <w:left w:w="108" w:type="dxa"/>
            <w:bottom w:w="0" w:type="dxa"/>
            <w:right w:w="108" w:type="dxa"/>
          </w:tblCellMar>
        </w:tblPrEx>
        <w:tc>
          <w:tcPr>
            <w:tcW w:w="1881" w:type="dxa"/>
          </w:tcPr>
          <w:p w14:paraId="6380FAD4">
            <w:r>
              <w:t>2021-04-13</w:t>
            </w:r>
          </w:p>
        </w:tc>
        <w:tc>
          <w:tcPr>
            <w:tcW w:w="1881" w:type="dxa"/>
          </w:tcPr>
          <w:p w14:paraId="0F443521">
            <w:r>
              <w:t>44800</w:t>
            </w:r>
          </w:p>
        </w:tc>
        <w:tc>
          <w:tcPr>
            <w:tcW w:w="1881" w:type="dxa"/>
          </w:tcPr>
          <w:p w14:paraId="07BAD26B">
            <w:r>
              <w:t>39236</w:t>
            </w:r>
          </w:p>
        </w:tc>
        <w:tc>
          <w:tcPr>
            <w:tcW w:w="1881" w:type="dxa"/>
          </w:tcPr>
          <w:p w14:paraId="7F15AED6">
            <w:r>
              <w:t>-12.4</w:t>
            </w:r>
          </w:p>
        </w:tc>
        <w:tc>
          <w:tcPr>
            <w:tcW w:w="1881" w:type="dxa"/>
          </w:tcPr>
          <w:p w14:paraId="5217AB41">
            <w:r>
              <w:t>0</w:t>
            </w:r>
          </w:p>
        </w:tc>
      </w:tr>
      <w:tr w14:paraId="33338F56">
        <w:tblPrEx>
          <w:tblCellMar>
            <w:top w:w="0" w:type="dxa"/>
            <w:left w:w="108" w:type="dxa"/>
            <w:bottom w:w="0" w:type="dxa"/>
            <w:right w:w="108" w:type="dxa"/>
          </w:tblCellMar>
        </w:tblPrEx>
        <w:tc>
          <w:tcPr>
            <w:tcW w:w="1881" w:type="dxa"/>
          </w:tcPr>
          <w:p w14:paraId="5C6CBE97">
            <w:r>
              <w:t>2022-12-24</w:t>
            </w:r>
          </w:p>
        </w:tc>
        <w:tc>
          <w:tcPr>
            <w:tcW w:w="1881" w:type="dxa"/>
          </w:tcPr>
          <w:p w14:paraId="570116B8">
            <w:r>
              <w:t>40200</w:t>
            </w:r>
          </w:p>
        </w:tc>
        <w:tc>
          <w:tcPr>
            <w:tcW w:w="1881" w:type="dxa"/>
          </w:tcPr>
          <w:p w14:paraId="27C9A726">
            <w:r>
              <w:t>61561</w:t>
            </w:r>
          </w:p>
        </w:tc>
        <w:tc>
          <w:tcPr>
            <w:tcW w:w="1881" w:type="dxa"/>
          </w:tcPr>
          <w:p w14:paraId="1D78DC78">
            <w:r>
              <w:t>53.1</w:t>
            </w:r>
          </w:p>
        </w:tc>
        <w:tc>
          <w:tcPr>
            <w:tcW w:w="1881" w:type="dxa"/>
          </w:tcPr>
          <w:p w14:paraId="3C9E8E7F">
            <w:r>
              <w:t>0</w:t>
            </w:r>
          </w:p>
        </w:tc>
      </w:tr>
      <w:tr w14:paraId="6CFC44FA">
        <w:tblPrEx>
          <w:tblCellMar>
            <w:top w:w="0" w:type="dxa"/>
            <w:left w:w="108" w:type="dxa"/>
            <w:bottom w:w="0" w:type="dxa"/>
            <w:right w:w="108" w:type="dxa"/>
          </w:tblCellMar>
        </w:tblPrEx>
        <w:tc>
          <w:tcPr>
            <w:tcW w:w="1881" w:type="dxa"/>
          </w:tcPr>
          <w:p w14:paraId="1E6EE9C9">
            <w:r>
              <w:t>2022-02-06</w:t>
            </w:r>
          </w:p>
        </w:tc>
        <w:tc>
          <w:tcPr>
            <w:tcW w:w="1881" w:type="dxa"/>
          </w:tcPr>
          <w:p w14:paraId="1B149287">
            <w:r>
              <w:t>39600</w:t>
            </w:r>
          </w:p>
        </w:tc>
        <w:tc>
          <w:tcPr>
            <w:tcW w:w="1881" w:type="dxa"/>
          </w:tcPr>
          <w:p w14:paraId="06DBD934">
            <w:r>
              <w:t>37778</w:t>
            </w:r>
          </w:p>
        </w:tc>
        <w:tc>
          <w:tcPr>
            <w:tcW w:w="1881" w:type="dxa"/>
          </w:tcPr>
          <w:p w14:paraId="7D896F55">
            <w:r>
              <w:t>-4.6</w:t>
            </w:r>
          </w:p>
        </w:tc>
        <w:tc>
          <w:tcPr>
            <w:tcW w:w="1881" w:type="dxa"/>
          </w:tcPr>
          <w:p w14:paraId="7BD5C790">
            <w:r>
              <w:t>0</w:t>
            </w:r>
          </w:p>
        </w:tc>
      </w:tr>
      <w:tr w14:paraId="7FDDEB04">
        <w:tblPrEx>
          <w:tblCellMar>
            <w:top w:w="0" w:type="dxa"/>
            <w:left w:w="108" w:type="dxa"/>
            <w:bottom w:w="0" w:type="dxa"/>
            <w:right w:w="108" w:type="dxa"/>
          </w:tblCellMar>
        </w:tblPrEx>
        <w:tc>
          <w:tcPr>
            <w:tcW w:w="1881" w:type="dxa"/>
          </w:tcPr>
          <w:p w14:paraId="558284ED">
            <w:r>
              <w:t>2021-09-24</w:t>
            </w:r>
          </w:p>
        </w:tc>
        <w:tc>
          <w:tcPr>
            <w:tcW w:w="1881" w:type="dxa"/>
          </w:tcPr>
          <w:p w14:paraId="59AB4016">
            <w:r>
              <w:t>38500</w:t>
            </w:r>
          </w:p>
        </w:tc>
        <w:tc>
          <w:tcPr>
            <w:tcW w:w="1881" w:type="dxa"/>
          </w:tcPr>
          <w:p w14:paraId="0ED35298">
            <w:r>
              <w:t>47385</w:t>
            </w:r>
          </w:p>
        </w:tc>
        <w:tc>
          <w:tcPr>
            <w:tcW w:w="1881" w:type="dxa"/>
          </w:tcPr>
          <w:p w14:paraId="0320D1DB">
            <w:r>
              <w:t>23.1</w:t>
            </w:r>
          </w:p>
        </w:tc>
        <w:tc>
          <w:tcPr>
            <w:tcW w:w="1881" w:type="dxa"/>
          </w:tcPr>
          <w:p w14:paraId="719000C8">
            <w:r>
              <w:t>1</w:t>
            </w:r>
          </w:p>
        </w:tc>
      </w:tr>
    </w:tbl>
    <w:p w14:paraId="669959F4">
      <w:pPr>
        <w:ind w:firstLine="0"/>
        <w:jc w:val="center"/>
      </w:pPr>
      <w:r>
        <w:drawing>
          <wp:inline distT="0" distB="0" distL="114300" distR="114300">
            <wp:extent cx="5303520" cy="176847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1768476"/>
                    </a:xfrm>
                    <a:prstGeom prst="rect">
                      <a:avLst/>
                    </a:prstGeom>
                  </pic:spPr>
                </pic:pic>
              </a:graphicData>
            </a:graphic>
          </wp:inline>
        </w:drawing>
      </w:r>
    </w:p>
    <w:p w14:paraId="60DEAC19">
      <w:pPr>
        <w:spacing w:line="480" w:lineRule="auto"/>
        <w:jc w:val="center"/>
      </w:pPr>
      <w:r>
        <w:rPr>
          <w:rFonts w:ascii="Times New Roman" w:hAnsi="Times New Roman" w:eastAsia="Times New Roman"/>
          <w:b w:val="0"/>
          <w:i w:val="0"/>
          <w:sz w:val="22"/>
        </w:rPr>
        <w:t>Fig. 2. Bulk NSE/KGE/RMSE comparison across 1-, 3-, and 7-day horizons.</w:t>
      </w:r>
    </w:p>
    <w:p w14:paraId="0DC71B34">
      <w:pPr>
        <w:ind w:firstLine="0"/>
        <w:jc w:val="center"/>
      </w:pPr>
      <w:r>
        <w:drawing>
          <wp:inline distT="0" distB="0" distL="114300" distR="114300">
            <wp:extent cx="5303520" cy="183197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1832125"/>
                    </a:xfrm>
                    <a:prstGeom prst="rect">
                      <a:avLst/>
                    </a:prstGeom>
                  </pic:spPr>
                </pic:pic>
              </a:graphicData>
            </a:graphic>
          </wp:inline>
        </w:drawing>
      </w:r>
    </w:p>
    <w:p w14:paraId="29013C22">
      <w:pPr>
        <w:spacing w:line="480" w:lineRule="auto"/>
        <w:jc w:val="center"/>
      </w:pPr>
      <w:r>
        <w:rPr>
          <w:rFonts w:ascii="Times New Roman" w:hAnsi="Times New Roman" w:eastAsia="Times New Roman"/>
          <w:b w:val="0"/>
          <w:i w:val="0"/>
          <w:sz w:val="22"/>
        </w:rPr>
        <w:t>Fig. 3. Test hydrograph excerpt for 1-day ahead forecasts.</w:t>
      </w:r>
    </w:p>
    <w:p w14:paraId="472FD448">
      <w:pPr>
        <w:ind w:firstLine="0"/>
        <w:jc w:val="center"/>
      </w:pPr>
      <w:r>
        <w:drawing>
          <wp:inline distT="0" distB="0" distL="114300" distR="114300">
            <wp:extent cx="5303520" cy="183197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1832125"/>
                    </a:xfrm>
                    <a:prstGeom prst="rect">
                      <a:avLst/>
                    </a:prstGeom>
                  </pic:spPr>
                </pic:pic>
              </a:graphicData>
            </a:graphic>
          </wp:inline>
        </w:drawing>
      </w:r>
    </w:p>
    <w:p w14:paraId="2BE94D05">
      <w:pPr>
        <w:spacing w:line="480" w:lineRule="auto"/>
        <w:jc w:val="center"/>
      </w:pPr>
      <w:r>
        <w:rPr>
          <w:rFonts w:ascii="Times New Roman" w:hAnsi="Times New Roman" w:eastAsia="Times New Roman"/>
          <w:b w:val="0"/>
          <w:i w:val="0"/>
          <w:sz w:val="22"/>
        </w:rPr>
        <w:t>Fig. 4. Test hydrograph excerpt for 3-day ahead forecasts.</w:t>
      </w:r>
    </w:p>
    <w:p w14:paraId="50492F30">
      <w:pPr>
        <w:ind w:firstLine="0"/>
        <w:jc w:val="center"/>
      </w:pPr>
      <w:r>
        <w:drawing>
          <wp:inline distT="0" distB="0" distL="114300" distR="114300">
            <wp:extent cx="5303520" cy="183197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1832125"/>
                    </a:xfrm>
                    <a:prstGeom prst="rect">
                      <a:avLst/>
                    </a:prstGeom>
                  </pic:spPr>
                </pic:pic>
              </a:graphicData>
            </a:graphic>
          </wp:inline>
        </w:drawing>
      </w:r>
    </w:p>
    <w:p w14:paraId="0351EDC3">
      <w:pPr>
        <w:spacing w:line="480" w:lineRule="auto"/>
        <w:jc w:val="center"/>
      </w:pPr>
      <w:r>
        <w:rPr>
          <w:rFonts w:ascii="Times New Roman" w:hAnsi="Times New Roman" w:eastAsia="Times New Roman"/>
          <w:b w:val="0"/>
          <w:i w:val="0"/>
          <w:sz w:val="22"/>
        </w:rPr>
        <w:t>Fig. 5. Test hydrograph excerpt for 7-day ahead forecasts.</w:t>
      </w:r>
    </w:p>
    <w:p w14:paraId="11E544A0">
      <w:pPr>
        <w:ind w:firstLine="0"/>
        <w:jc w:val="center"/>
      </w:pPr>
      <w:r>
        <w:drawing>
          <wp:inline distT="0" distB="0" distL="114300" distR="114300">
            <wp:extent cx="530352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651760"/>
                    </a:xfrm>
                    <a:prstGeom prst="rect">
                      <a:avLst/>
                    </a:prstGeom>
                  </pic:spPr>
                </pic:pic>
              </a:graphicData>
            </a:graphic>
          </wp:inline>
        </w:drawing>
      </w:r>
    </w:p>
    <w:p w14:paraId="7E9245C7">
      <w:pPr>
        <w:spacing w:line="480" w:lineRule="auto"/>
        <w:jc w:val="center"/>
      </w:pPr>
      <w:r>
        <w:rPr>
          <w:rFonts w:ascii="Times New Roman" w:hAnsi="Times New Roman" w:eastAsia="Times New Roman"/>
          <w:b w:val="0"/>
          <w:i w:val="0"/>
          <w:sz w:val="22"/>
        </w:rPr>
        <w:t>Fig. 6. Seasonal NSE at the 1-day horizon.</w:t>
      </w:r>
    </w:p>
    <w:p w14:paraId="1F306C4B">
      <w:pPr>
        <w:ind w:firstLine="0"/>
        <w:jc w:val="center"/>
      </w:pPr>
      <w:r>
        <w:drawing>
          <wp:inline distT="0" distB="0" distL="114300" distR="114300">
            <wp:extent cx="530352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651760"/>
                    </a:xfrm>
                    <a:prstGeom prst="rect">
                      <a:avLst/>
                    </a:prstGeom>
                  </pic:spPr>
                </pic:pic>
              </a:graphicData>
            </a:graphic>
          </wp:inline>
        </w:drawing>
      </w:r>
    </w:p>
    <w:p w14:paraId="649E8AA6">
      <w:pPr>
        <w:spacing w:line="480" w:lineRule="auto"/>
        <w:jc w:val="center"/>
      </w:pPr>
      <w:r>
        <w:rPr>
          <w:rFonts w:ascii="Times New Roman" w:hAnsi="Times New Roman" w:eastAsia="Times New Roman"/>
          <w:b w:val="0"/>
          <w:i w:val="0"/>
          <w:sz w:val="22"/>
        </w:rPr>
        <w:t>Fig. 7. Seasonal NSE at the 3-day horizon.</w:t>
      </w:r>
    </w:p>
    <w:p w14:paraId="33B60DB2">
      <w:pPr>
        <w:ind w:firstLine="0"/>
        <w:jc w:val="center"/>
      </w:pPr>
      <w:r>
        <w:drawing>
          <wp:inline distT="0" distB="0" distL="114300" distR="114300">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651760"/>
                    </a:xfrm>
                    <a:prstGeom prst="rect">
                      <a:avLst/>
                    </a:prstGeom>
                  </pic:spPr>
                </pic:pic>
              </a:graphicData>
            </a:graphic>
          </wp:inline>
        </w:drawing>
      </w:r>
    </w:p>
    <w:p w14:paraId="43EF2E03">
      <w:pPr>
        <w:spacing w:line="480" w:lineRule="auto"/>
        <w:jc w:val="center"/>
      </w:pPr>
      <w:r>
        <w:rPr>
          <w:rFonts w:ascii="Times New Roman" w:hAnsi="Times New Roman" w:eastAsia="Times New Roman"/>
          <w:b w:val="0"/>
          <w:i w:val="0"/>
          <w:sz w:val="22"/>
        </w:rPr>
        <w:t>Fig. 8. Seasonal NSE at the 7-day horizon.</w:t>
      </w:r>
    </w:p>
    <w:p w14:paraId="08231303">
      <w:pPr>
        <w:ind w:firstLine="0"/>
        <w:jc w:val="center"/>
      </w:pPr>
      <w:r>
        <w:drawing>
          <wp:inline distT="0" distB="0" distL="114300" distR="114300">
            <wp:extent cx="5303520" cy="1831975"/>
            <wp:effectExtent l="0" t="0" r="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1832125"/>
                    </a:xfrm>
                    <a:prstGeom prst="rect">
                      <a:avLst/>
                    </a:prstGeom>
                  </pic:spPr>
                </pic:pic>
              </a:graphicData>
            </a:graphic>
          </wp:inline>
        </w:drawing>
      </w:r>
    </w:p>
    <w:p w14:paraId="42229070">
      <w:pPr>
        <w:spacing w:line="480" w:lineRule="auto"/>
        <w:jc w:val="center"/>
      </w:pPr>
      <w:r>
        <w:rPr>
          <w:rFonts w:ascii="Times New Roman" w:hAnsi="Times New Roman" w:eastAsia="Times New Roman"/>
          <w:b w:val="0"/>
          <w:i w:val="0"/>
          <w:sz w:val="22"/>
        </w:rPr>
        <w:t>Fig. 9. Multi-seed uncertainty band for LSTM-Attention (1-day).</w:t>
      </w:r>
    </w:p>
    <w:p w14:paraId="04B78639">
      <w:pPr>
        <w:ind w:firstLine="0"/>
        <w:jc w:val="center"/>
      </w:pPr>
      <w:r>
        <w:drawing>
          <wp:inline distT="0" distB="0" distL="114300" distR="114300">
            <wp:extent cx="5303520" cy="1831975"/>
            <wp:effectExtent l="0" t="0" r="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1832125"/>
                    </a:xfrm>
                    <a:prstGeom prst="rect">
                      <a:avLst/>
                    </a:prstGeom>
                  </pic:spPr>
                </pic:pic>
              </a:graphicData>
            </a:graphic>
          </wp:inline>
        </w:drawing>
      </w:r>
    </w:p>
    <w:p w14:paraId="411EBA92">
      <w:pPr>
        <w:spacing w:line="480" w:lineRule="auto"/>
        <w:jc w:val="center"/>
      </w:pPr>
      <w:r>
        <w:rPr>
          <w:rFonts w:ascii="Times New Roman" w:hAnsi="Times New Roman" w:eastAsia="Times New Roman"/>
          <w:b w:val="0"/>
          <w:i w:val="0"/>
          <w:sz w:val="22"/>
        </w:rPr>
        <w:t>Fig. 10. Multi-seed uncertainty band for LSTM-Attention (3-day).</w:t>
      </w:r>
    </w:p>
    <w:p w14:paraId="2848368B">
      <w:pPr>
        <w:ind w:firstLine="0"/>
        <w:jc w:val="center"/>
      </w:pPr>
      <w:r>
        <w:drawing>
          <wp:inline distT="0" distB="0" distL="114300" distR="114300">
            <wp:extent cx="5303520" cy="183197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1832125"/>
                    </a:xfrm>
                    <a:prstGeom prst="rect">
                      <a:avLst/>
                    </a:prstGeom>
                  </pic:spPr>
                </pic:pic>
              </a:graphicData>
            </a:graphic>
          </wp:inline>
        </w:drawing>
      </w:r>
    </w:p>
    <w:p w14:paraId="4AE79DEF">
      <w:pPr>
        <w:spacing w:line="480" w:lineRule="auto"/>
        <w:jc w:val="center"/>
      </w:pPr>
      <w:r>
        <w:rPr>
          <w:rFonts w:ascii="Times New Roman" w:hAnsi="Times New Roman" w:eastAsia="Times New Roman"/>
          <w:b w:val="0"/>
          <w:i w:val="0"/>
          <w:sz w:val="22"/>
        </w:rPr>
        <w:t>Fig. 11. Multi-seed uncertainty band for LSTM-Attention (7-day).</w:t>
      </w:r>
    </w:p>
    <w:p w14:paraId="4B3181CE">
      <w:pPr>
        <w:ind w:firstLine="0"/>
        <w:jc w:val="center"/>
      </w:pPr>
      <w:r>
        <w:drawing>
          <wp:inline distT="0" distB="0" distL="114300" distR="114300">
            <wp:extent cx="5303520" cy="303022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3030583"/>
                    </a:xfrm>
                    <a:prstGeom prst="rect">
                      <a:avLst/>
                    </a:prstGeom>
                  </pic:spPr>
                </pic:pic>
              </a:graphicData>
            </a:graphic>
          </wp:inline>
        </w:drawing>
      </w:r>
    </w:p>
    <w:p w14:paraId="65907910">
      <w:pPr>
        <w:spacing w:line="480" w:lineRule="auto"/>
        <w:jc w:val="center"/>
      </w:pPr>
      <w:r>
        <w:rPr>
          <w:rFonts w:ascii="Times New Roman" w:hAnsi="Times New Roman" w:eastAsia="Times New Roman"/>
          <w:b w:val="0"/>
          <w:i w:val="0"/>
          <w:sz w:val="22"/>
        </w:rPr>
        <w:t>Fig. 12. Permutation importance for LSTM-Attention (1-day).</w:t>
      </w:r>
    </w:p>
    <w:p w14:paraId="504E0192">
      <w:pPr>
        <w:ind w:firstLine="0"/>
        <w:jc w:val="center"/>
      </w:pPr>
      <w:r>
        <w:drawing>
          <wp:inline distT="0" distB="0" distL="114300" distR="114300">
            <wp:extent cx="5303520" cy="5303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5303520"/>
                    </a:xfrm>
                    <a:prstGeom prst="rect">
                      <a:avLst/>
                    </a:prstGeom>
                  </pic:spPr>
                </pic:pic>
              </a:graphicData>
            </a:graphic>
          </wp:inline>
        </w:drawing>
      </w:r>
    </w:p>
    <w:p w14:paraId="1DC15C03">
      <w:pPr>
        <w:spacing w:line="480" w:lineRule="auto"/>
        <w:jc w:val="center"/>
      </w:pPr>
      <w:r>
        <w:rPr>
          <w:rFonts w:ascii="Times New Roman" w:hAnsi="Times New Roman" w:eastAsia="Times New Roman"/>
          <w:b w:val="0"/>
          <w:i w:val="0"/>
          <w:sz w:val="22"/>
        </w:rPr>
        <w:t>Fig. 13. Observed versus predicted discharge for a weekly-horizon model (reference scatter).</w:t>
      </w:r>
    </w:p>
    <w:p w14:paraId="70A6CB0B">
      <w:pPr>
        <w:spacing w:before="240" w:line="480" w:lineRule="auto"/>
        <w:ind w:firstLine="0"/>
        <w:jc w:val="left"/>
      </w:pPr>
      <w:r>
        <w:rPr>
          <w:rFonts w:ascii="Times New Roman" w:hAnsi="Times New Roman" w:eastAsia="Times New Roman"/>
          <w:b/>
          <w:i w:val="0"/>
          <w:sz w:val="24"/>
        </w:rPr>
        <w:t>3.2 Value of upstream information</w:t>
      </w:r>
    </w:p>
    <w:p w14:paraId="46D693AB">
      <w:pPr>
        <w:spacing w:line="480" w:lineRule="auto"/>
        <w:ind w:firstLine="480"/>
        <w:jc w:val="both"/>
      </w:pPr>
      <w:r>
        <w:rPr>
          <w:rFonts w:ascii="Times New Roman" w:hAnsi="Times New Roman" w:eastAsia="Times New Roman"/>
          <w:b w:val="0"/>
          <w:i w:val="0"/>
          <w:sz w:val="24"/>
        </w:rPr>
        <w:t>Ablating upstream discharge and precipitation reduces 1-day LSTM-Attention NSE from 0.931 to 0.907 (Table 4). The absolute gap is about 0.024 NSE units at one day and remains positive at three and seven days, although bulk skill itself collapses toward the weekly horizon. This pattern matches the physical expectation that upstream memory is most useful within typical routing times when future rainfall is unknown. For regional network design, maintaining a small number of well-placed upstream telemetered gauges yields the largest incremental benefit for next-day outlooks at Washington, D.C.</w:t>
      </w:r>
    </w:p>
    <w:p w14:paraId="663B38B5">
      <w:pPr>
        <w:spacing w:before="240" w:line="480" w:lineRule="auto"/>
        <w:ind w:firstLine="0"/>
        <w:jc w:val="left"/>
      </w:pPr>
      <w:r>
        <w:rPr>
          <w:rFonts w:ascii="Times New Roman" w:hAnsi="Times New Roman" w:eastAsia="Times New Roman"/>
          <w:b/>
          <w:i w:val="0"/>
          <w:sz w:val="24"/>
        </w:rPr>
        <w:t>3.3 High flows, seasons, and peaks</w:t>
      </w:r>
    </w:p>
    <w:p w14:paraId="03184456">
      <w:pPr>
        <w:spacing w:line="480" w:lineRule="auto"/>
        <w:ind w:firstLine="480"/>
        <w:jc w:val="both"/>
      </w:pPr>
      <w:r>
        <w:rPr>
          <w:rFonts w:ascii="Times New Roman" w:hAnsi="Times New Roman" w:eastAsia="Times New Roman"/>
          <w:b w:val="0"/>
          <w:i w:val="0"/>
          <w:sz w:val="24"/>
        </w:rPr>
        <w:t>Stratified scores (Table 3) indicate that high-flow NSE for 1-day LSTM-Attention (NSE_high = 0.888) remains useful but is lower than the easiest low-flow autocorrelation baseline in some models, confirming that extremes are harder than mean behavior. Seasonal panels (Figs. 6–8; Table 5) show generally stronger cool-season skill and more variable warm-season performance, consistent with convective rainfall and faster summer catchment response. Peak-event summaries for LSTM-Attention give mean absolute relative peak error of 20.0% and mean absolute timing error of 0.25 days at the 1-day horizon, underscoring that operational flood use requires event-wise checks beyond NSE. Hydrograph excerpts at 1/3/7 days (Figs. 3–5) illustrate the progressive loss of amplitude and timing fidelity as lead time increases.</w:t>
      </w:r>
    </w:p>
    <w:p w14:paraId="7C4676B4">
      <w:pPr>
        <w:spacing w:before="240" w:line="480" w:lineRule="auto"/>
        <w:ind w:firstLine="0"/>
        <w:jc w:val="left"/>
      </w:pPr>
      <w:r>
        <w:rPr>
          <w:rFonts w:ascii="Times New Roman" w:hAnsi="Times New Roman" w:eastAsia="Times New Roman"/>
          <w:b/>
          <w:i w:val="0"/>
          <w:sz w:val="24"/>
        </w:rPr>
        <w:t>3.4 Interpretability and uncertainty</w:t>
      </w:r>
    </w:p>
    <w:p w14:paraId="4134DC8D">
      <w:pPr>
        <w:spacing w:line="480" w:lineRule="auto"/>
        <w:ind w:firstLine="480"/>
        <w:jc w:val="both"/>
      </w:pPr>
      <w:r>
        <w:rPr>
          <w:rFonts w:ascii="Times New Roman" w:hAnsi="Times New Roman" w:eastAsia="Times New Roman"/>
          <w:b w:val="0"/>
          <w:i w:val="0"/>
          <w:sz w:val="24"/>
        </w:rPr>
        <w:t>Permutation tests for the 1-day LSTM-Attention model (Fig. 12) rank the largest skill drops for Q_target (ΔNSE = 0.790), Q_01636500 (ΔNSE = 0.213), precip_01636500 (ΔNSE = 0.054). Local discharge dominates, as expected for strong daily autocorrelation, while upstream discharges contribute secondary but non-negligible information. Precipitation channels matter less once recent flows are known, which is consistent with a routing-dominated 1-day problem at this outlet. Multi-seed uncertainty bands (Figs. 9–11) show that ensemble spread widens at longer leads, reinforcing that weekly deterministic products remain fragile.</w:t>
      </w:r>
    </w:p>
    <w:p w14:paraId="26912592">
      <w:pPr>
        <w:spacing w:before="240" w:line="480" w:lineRule="auto"/>
        <w:ind w:firstLine="0"/>
        <w:jc w:val="left"/>
      </w:pPr>
      <w:r>
        <w:rPr>
          <w:rFonts w:ascii="Times New Roman" w:hAnsi="Times New Roman" w:eastAsia="Times New Roman"/>
          <w:b/>
          <w:i w:val="0"/>
          <w:sz w:val="24"/>
        </w:rPr>
        <w:t>4. Discussion</w:t>
      </w:r>
    </w:p>
    <w:p w14:paraId="268965C3">
      <w:pPr>
        <w:spacing w:line="480" w:lineRule="auto"/>
        <w:ind w:firstLine="480"/>
        <w:jc w:val="both"/>
      </w:pPr>
      <w:r>
        <w:rPr>
          <w:rFonts w:ascii="Times New Roman" w:hAnsi="Times New Roman" w:eastAsia="Times New Roman"/>
          <w:b w:val="0"/>
          <w:i w:val="0"/>
          <w:sz w:val="24"/>
        </w:rPr>
        <w:t>The regional message is conditional rather than absolute. Deep sequence models help most when the horizon matches the memory of the gauge network. For Washington, D.C., that regime is primarily the next day. At three to seven days, neither LSTM variants nor XGBoost retain high NSE using only recent observations; bridging that gap likely requires forecast precipitation, soil-moisture proxies, or coupling to a process model. Reporting this limitation is intentional: overstating weekly skill would mislead regional users.</w:t>
      </w:r>
    </w:p>
    <w:p w14:paraId="522C8D49">
      <w:pPr>
        <w:spacing w:line="480" w:lineRule="auto"/>
        <w:ind w:firstLine="480"/>
        <w:jc w:val="both"/>
      </w:pPr>
      <w:r>
        <w:rPr>
          <w:rFonts w:ascii="Times New Roman" w:hAnsi="Times New Roman" w:eastAsia="Times New Roman"/>
          <w:b w:val="0"/>
          <w:i w:val="0"/>
          <w:sz w:val="24"/>
        </w:rPr>
        <w:t>These findings corroborate broader evidence that LSTM-type models can match or exceed conventional machine-learning baselines for short-range rainfall–runoff prediction when sufficient hydrometric memory is available (Kratzert et al., 2018, 2019; Frame et al., 2022), while also aligning with cautionary perspectives that deep learning does not automatically solve forecast problems at leads beyond basin memory (Nearing et al., 2021; Shen, 2018). Architecture novelty is secondary here: attention yields the best 1-day score in our ensemble-mean comparison, yet XGBoost remains close and can outperform attention at longer leads in some runs. Practitioners should therefore treat model choice as an empirical, horizon-specific decision and monitor seed variability (Figs. 9–11).</w:t>
      </w:r>
    </w:p>
    <w:p w14:paraId="53EAF76E">
      <w:pPr>
        <w:spacing w:line="480" w:lineRule="auto"/>
        <w:ind w:firstLine="480"/>
        <w:jc w:val="both"/>
      </w:pPr>
      <w:r>
        <w:rPr>
          <w:rFonts w:ascii="Times New Roman" w:hAnsi="Times New Roman" w:eastAsia="Times New Roman"/>
          <w:b w:val="0"/>
          <w:i w:val="0"/>
          <w:sz w:val="24"/>
        </w:rPr>
        <w:t>For mid-Atlantic flood operations, the practical implication is twofold. First, preserving and quality-controlling a small set of upstream telemetered gauges remains high-value for next-day outlooks at the Potomac outlet. Second, purely observation-driven weekly products should not be treated as decision-grade without forecast meteorology. Limitations include the use of reanalysis precipitation rather than gauge-adjusted QPE, omission of regulatory influences and tidal effects near the estuary, and a single-basin scope. Transferability tests on neighboring mid-Atlantic basins are a natural extension, and the open USGS–Open-Meteo pipeline makes the Potomac case a transparent regional benchmark for such comparisons.</w:t>
      </w:r>
    </w:p>
    <w:p w14:paraId="66AD187B">
      <w:pPr>
        <w:spacing w:before="240" w:line="480" w:lineRule="auto"/>
        <w:ind w:firstLine="0"/>
        <w:jc w:val="left"/>
      </w:pPr>
      <w:r>
        <w:rPr>
          <w:rFonts w:ascii="Times New Roman" w:hAnsi="Times New Roman" w:eastAsia="Times New Roman"/>
          <w:b/>
          <w:i w:val="0"/>
          <w:sz w:val="24"/>
        </w:rPr>
        <w:t>5. Conclusions</w:t>
      </w:r>
    </w:p>
    <w:p w14:paraId="229236C8">
      <w:pPr>
        <w:spacing w:line="480" w:lineRule="auto"/>
        <w:ind w:firstLine="480"/>
        <w:jc w:val="both"/>
      </w:pPr>
      <w:r>
        <w:rPr>
          <w:rFonts w:ascii="Times New Roman" w:hAnsi="Times New Roman" w:eastAsia="Times New Roman"/>
          <w:b w:val="0"/>
          <w:i w:val="0"/>
          <w:sz w:val="24"/>
        </w:rPr>
        <w:t>Main findings and novelty. Using a fully public Potomac gauge network for 2000–2023, we show that upstream hydrometric information improves short-range forecasts at Washington, D.C., with LSTM-Attention providing the strongest 1-day deterministic skill among the tested models. The novelty for the region is not a new universal architecture, but a quantified, horizon-dependent assessment of upstream-gauge value together with flood-oriented residual diagnostics.</w:t>
      </w:r>
    </w:p>
    <w:p w14:paraId="554910CB">
      <w:pPr>
        <w:spacing w:line="480" w:lineRule="auto"/>
        <w:ind w:firstLine="480"/>
        <w:jc w:val="both"/>
      </w:pPr>
      <w:r>
        <w:rPr>
          <w:rFonts w:ascii="Times New Roman" w:hAnsi="Times New Roman" w:eastAsia="Times New Roman"/>
          <w:b w:val="0"/>
          <w:i w:val="0"/>
          <w:sz w:val="24"/>
        </w:rPr>
        <w:t>Broader impacts. For mid-Atlantic short-range forecasting and gauge-network design, investing in reliable upstream telemetry and focusing deep-learning effort on 1-day products appears more defensible than expecting purely observation-driven weekly accuracy. Stratified, seasonal, and peak diagnostics provide operationally interpretable evidence of where flood-relevant errors persist along the lower Potomac corridor.</w:t>
      </w:r>
    </w:p>
    <w:p w14:paraId="1AB5376A">
      <w:pPr>
        <w:spacing w:line="480" w:lineRule="auto"/>
        <w:ind w:firstLine="480"/>
        <w:jc w:val="both"/>
      </w:pPr>
      <w:r>
        <w:rPr>
          <w:rFonts w:ascii="Times New Roman" w:hAnsi="Times New Roman" w:eastAsia="Times New Roman"/>
          <w:b w:val="0"/>
          <w:i w:val="0"/>
          <w:sz w:val="24"/>
        </w:rPr>
        <w:t>Limitations and outlook. Skill deteriorates substantially by the weekly horizon for all methods when future rainfall is unavailable; extending lead times will require forecast precipitation or hybrid process–data approaches. Future work should test transfer to neighboring basins, incorporate operational QPE/QPF products, and evaluate uncertainty communication tailored to regional flood-watch protocols.</w:t>
      </w:r>
    </w:p>
    <w:p w14:paraId="505BE8DA">
      <w:pPr>
        <w:spacing w:before="240" w:line="480" w:lineRule="auto"/>
        <w:ind w:firstLine="0"/>
        <w:jc w:val="left"/>
      </w:pPr>
      <w:r>
        <w:rPr>
          <w:rFonts w:ascii="Times New Roman" w:hAnsi="Times New Roman" w:eastAsia="Times New Roman"/>
          <w:b/>
          <w:i w:val="0"/>
          <w:sz w:val="24"/>
        </w:rPr>
        <w:t>CRediT authorship contribution statement</w:t>
      </w:r>
    </w:p>
    <w:p w14:paraId="0D0B2249">
      <w:pPr>
        <w:spacing w:line="480" w:lineRule="auto"/>
        <w:jc w:val="both"/>
      </w:pPr>
      <w:r>
        <w:rPr>
          <w:rFonts w:ascii="Times New Roman" w:hAnsi="Times New Roman" w:eastAsia="Times New Roman"/>
          <w:b w:val="0"/>
          <w:i w:val="0"/>
          <w:sz w:val="24"/>
        </w:rPr>
        <w:t>Author Name: Conceptualization, Methodology, Software, Formal analysis, Writing – original draft, Visualization. Co-Author Name: Supervision, Writing – review &amp; editing, Validation. [Replace with real author names and adjust roles before submission.]</w:t>
      </w:r>
    </w:p>
    <w:p w14:paraId="06ED5C3A">
      <w:pPr>
        <w:spacing w:before="240" w:line="480" w:lineRule="auto"/>
        <w:ind w:firstLine="0"/>
        <w:jc w:val="left"/>
      </w:pPr>
      <w:r>
        <w:rPr>
          <w:rFonts w:ascii="Times New Roman" w:hAnsi="Times New Roman" w:eastAsia="Times New Roman"/>
          <w:b/>
          <w:i w:val="0"/>
          <w:sz w:val="24"/>
        </w:rPr>
        <w:t>Declaration of competing interest</w:t>
      </w:r>
    </w:p>
    <w:p w14:paraId="1857401A">
      <w:pPr>
        <w:spacing w:line="480" w:lineRule="auto"/>
        <w:jc w:val="both"/>
      </w:pPr>
      <w:r>
        <w:rPr>
          <w:rFonts w:ascii="Times New Roman" w:hAnsi="Times New Roman" w:eastAsia="Times New Roman"/>
          <w:b w:val="0"/>
          <w:i w:val="0"/>
          <w:sz w:val="24"/>
        </w:rPr>
        <w:t>The authors declare that they have no known competing financial interests or personal relationships that could have appeared to influence the work reported in this paper.</w:t>
      </w:r>
    </w:p>
    <w:p w14:paraId="0DCF9FC0">
      <w:pPr>
        <w:spacing w:before="240" w:line="480" w:lineRule="auto"/>
        <w:ind w:firstLine="0"/>
        <w:jc w:val="left"/>
      </w:pPr>
      <w:r>
        <w:rPr>
          <w:rFonts w:ascii="Times New Roman" w:hAnsi="Times New Roman" w:eastAsia="Times New Roman"/>
          <w:b/>
          <w:i w:val="0"/>
          <w:sz w:val="24"/>
        </w:rPr>
        <w:t>Declaration of generative AI and AI-assisted technologies in the manuscript preparation process</w:t>
      </w:r>
    </w:p>
    <w:p w14:paraId="421CD63D">
      <w:pPr>
        <w:spacing w:line="480" w:lineRule="auto"/>
        <w:jc w:val="both"/>
      </w:pPr>
      <w:r>
        <w:rPr>
          <w:rFonts w:ascii="Times New Roman" w:hAnsi="Times New Roman" w:eastAsia="Times New Roman"/>
          <w:b w:val="0"/>
          <w:i w:val="0"/>
          <w:sz w:val="24"/>
        </w:rPr>
        <w:t>During the preparation of this work the authors used AI-assisted tools for language editing and manuscript formatting assistance. After using these tools, the authors reviewed and edited the content as needed and take full responsibility for the content of the published article. No generative AI tools were used to create or alter scientific figures or the graphical abstract.</w:t>
      </w:r>
    </w:p>
    <w:p w14:paraId="6EB5E591">
      <w:pPr>
        <w:spacing w:before="240" w:line="480" w:lineRule="auto"/>
        <w:ind w:firstLine="0"/>
        <w:jc w:val="left"/>
      </w:pPr>
      <w:r>
        <w:rPr>
          <w:rFonts w:ascii="Times New Roman" w:hAnsi="Times New Roman" w:eastAsia="Times New Roman"/>
          <w:b/>
          <w:i w:val="0"/>
          <w:sz w:val="24"/>
        </w:rPr>
        <w:t>Funding</w:t>
      </w:r>
    </w:p>
    <w:p w14:paraId="45E71379">
      <w:pPr>
        <w:spacing w:line="480" w:lineRule="auto"/>
        <w:jc w:val="both"/>
      </w:pPr>
      <w:r>
        <w:rPr>
          <w:rFonts w:ascii="Times New Roman" w:hAnsi="Times New Roman" w:eastAsia="Times New Roman"/>
          <w:b w:val="0"/>
          <w:i w:val="0"/>
          <w:sz w:val="24"/>
        </w:rPr>
        <w:t>This research did not receive any specific grant from funding agencies in the public, commercial, or not-for-profit sectors. [Or insert grant numbers here.]</w:t>
      </w:r>
    </w:p>
    <w:p w14:paraId="29DC4CEC">
      <w:pPr>
        <w:spacing w:before="240" w:line="480" w:lineRule="auto"/>
        <w:ind w:firstLine="0"/>
        <w:jc w:val="left"/>
      </w:pPr>
      <w:r>
        <w:rPr>
          <w:rFonts w:ascii="Times New Roman" w:hAnsi="Times New Roman" w:eastAsia="Times New Roman"/>
          <w:b/>
          <w:i w:val="0"/>
          <w:sz w:val="24"/>
        </w:rPr>
        <w:t>Data availability</w:t>
      </w:r>
    </w:p>
    <w:p w14:paraId="5FDE7167">
      <w:pPr>
        <w:spacing w:line="480" w:lineRule="auto"/>
        <w:jc w:val="both"/>
      </w:pPr>
      <w:r>
        <w:rPr>
          <w:rFonts w:ascii="Times New Roman" w:hAnsi="Times New Roman" w:eastAsia="Times New Roman"/>
          <w:b w:val="0"/>
          <w:i w:val="0"/>
          <w:sz w:val="24"/>
        </w:rPr>
        <w:t>Discharge data are available from USGS NWIS (https://waterservices.usgs.gov/). Meteorological fields were downloaded from the Open-Meteo Archive API (https://open-meteo.com/). Processed daily tables, training scripts, enhanced metrics, and figure files are provided in the accompanying hydro-ml-paper project archive and can be shared upon reasonable request / deposited with the accepted article.</w:t>
      </w:r>
    </w:p>
    <w:p w14:paraId="0B408CE2">
      <w:pPr>
        <w:spacing w:before="240" w:line="480" w:lineRule="auto"/>
        <w:ind w:firstLine="0"/>
        <w:jc w:val="left"/>
      </w:pPr>
      <w:r>
        <w:rPr>
          <w:rFonts w:ascii="Times New Roman" w:hAnsi="Times New Roman" w:eastAsia="Times New Roman"/>
          <w:b/>
          <w:i w:val="0"/>
          <w:sz w:val="24"/>
        </w:rPr>
        <w:t>Acknowledgments</w:t>
      </w:r>
    </w:p>
    <w:p w14:paraId="7560A121">
      <w:pPr>
        <w:spacing w:line="480" w:lineRule="auto"/>
        <w:jc w:val="both"/>
      </w:pPr>
      <w:r>
        <w:rPr>
          <w:rFonts w:ascii="Times New Roman" w:hAnsi="Times New Roman" w:eastAsia="Times New Roman"/>
          <w:b w:val="0"/>
          <w:i w:val="0"/>
          <w:sz w:val="24"/>
        </w:rPr>
        <w:t>The authors thank USGS and Open-Meteo for open data services.</w:t>
      </w:r>
    </w:p>
    <w:p w14:paraId="1B612F4B">
      <w:pPr>
        <w:spacing w:before="240" w:line="480" w:lineRule="auto"/>
        <w:ind w:firstLine="0"/>
        <w:jc w:val="left"/>
      </w:pPr>
      <w:r>
        <w:rPr>
          <w:rFonts w:ascii="Times New Roman" w:hAnsi="Times New Roman" w:eastAsia="Times New Roman"/>
          <w:b/>
          <w:i w:val="0"/>
          <w:sz w:val="24"/>
        </w:rPr>
        <w:t>References</w:t>
      </w:r>
    </w:p>
    <w:p w14:paraId="6DEF9458">
      <w:pPr>
        <w:spacing w:line="480" w:lineRule="auto"/>
        <w:ind w:left="480" w:hanging="480"/>
      </w:pPr>
      <w:r>
        <w:rPr>
          <w:rFonts w:ascii="Times New Roman" w:hAnsi="Times New Roman" w:eastAsia="Times New Roman"/>
          <w:b w:val="0"/>
          <w:i w:val="0"/>
          <w:sz w:val="24"/>
        </w:rPr>
        <w:t>Chen, T., Guestrin, C., 2016. XGBoost: A scalable tree boosting system. In: Proceedings of the 22nd ACM SIGKDD International Conference on Knowledge Discovery and Data Mining. ACM, pp. 785–794.</w:t>
      </w:r>
    </w:p>
    <w:p w14:paraId="3B6E8AE9">
      <w:pPr>
        <w:spacing w:line="480" w:lineRule="auto"/>
        <w:ind w:left="480" w:hanging="480"/>
      </w:pPr>
      <w:r>
        <w:rPr>
          <w:rFonts w:ascii="Times New Roman" w:hAnsi="Times New Roman" w:eastAsia="Times New Roman"/>
          <w:b w:val="0"/>
          <w:i w:val="0"/>
          <w:sz w:val="24"/>
        </w:rPr>
        <w:t>Frame, J.M., Kratzert, F., Klotz, D., Gauch, M., Shelev, G., Gilon, O., Qualls, L.M., Gupta, H.V., Nearing, G.S., 2022. Deep learning rainfall–runoff predictions of extreme events. Hydrol. Earth Syst. Sci. 26, 3377–3392.</w:t>
      </w:r>
    </w:p>
    <w:p w14:paraId="79AE9745">
      <w:pPr>
        <w:spacing w:line="480" w:lineRule="auto"/>
        <w:ind w:left="480" w:hanging="480"/>
      </w:pPr>
      <w:r>
        <w:rPr>
          <w:rFonts w:ascii="Times New Roman" w:hAnsi="Times New Roman" w:eastAsia="Times New Roman"/>
          <w:b w:val="0"/>
          <w:i w:val="0"/>
          <w:sz w:val="24"/>
        </w:rPr>
        <w:t>Gupta, H.V., Kling, H., Yilmaz, K.K., Martinez, G.F., 2009. Decomposition of the mean squared error and NSE performance criteria: Implications for improving hydrological modelling. J. Hydrol. 377, 80–91.</w:t>
      </w:r>
    </w:p>
    <w:p w14:paraId="1F75A7DB">
      <w:pPr>
        <w:spacing w:line="480" w:lineRule="auto"/>
        <w:ind w:left="480" w:hanging="480"/>
      </w:pPr>
      <w:r>
        <w:rPr>
          <w:rFonts w:ascii="Times New Roman" w:hAnsi="Times New Roman" w:eastAsia="Times New Roman"/>
          <w:b w:val="0"/>
          <w:i w:val="0"/>
          <w:sz w:val="24"/>
        </w:rPr>
        <w:t>Kratzert, F., Klotz, D., Brenner, C., Schulz, K., Herrnegger, M., 2018. Rainfall–runoff modelling using Long Short-Term Memory (LSTM) networks. Hydrol. Earth Syst. Sci. 22, 6005–6022.</w:t>
      </w:r>
    </w:p>
    <w:p w14:paraId="16B9C226">
      <w:pPr>
        <w:spacing w:line="480" w:lineRule="auto"/>
        <w:ind w:left="480" w:hanging="480"/>
      </w:pPr>
      <w:r>
        <w:rPr>
          <w:rFonts w:ascii="Times New Roman" w:hAnsi="Times New Roman" w:eastAsia="Times New Roman"/>
          <w:b w:val="0"/>
          <w:i w:val="0"/>
          <w:sz w:val="24"/>
        </w:rPr>
        <w:t>Kratzert, F., Klotz, D., Shalev, G., Klambauer, G., Hochreiter, S., Nearing, G., 2019. Towards learning universal, regional, and local hydrological behaviors via machine learning applied to large-sample datasets. Hydrol. Earth Syst. Sci. 23, 5089–5110.</w:t>
      </w:r>
    </w:p>
    <w:p w14:paraId="3204AEE2">
      <w:pPr>
        <w:spacing w:line="480" w:lineRule="auto"/>
        <w:ind w:left="480" w:hanging="480"/>
      </w:pPr>
      <w:r>
        <w:rPr>
          <w:rFonts w:ascii="Times New Roman" w:hAnsi="Times New Roman" w:eastAsia="Times New Roman"/>
          <w:b w:val="0"/>
          <w:i w:val="0"/>
          <w:sz w:val="24"/>
        </w:rPr>
        <w:t>Nash, J.E., Sutcliffe, J.V., 1970. River flow forecasting through conceptual models part I — A discussion of principles. J. Hydrol. 10, 282–290.</w:t>
      </w:r>
    </w:p>
    <w:p w14:paraId="50E1A3AF">
      <w:pPr>
        <w:spacing w:line="480" w:lineRule="auto"/>
        <w:ind w:left="480" w:hanging="480"/>
      </w:pPr>
      <w:r>
        <w:rPr>
          <w:rFonts w:ascii="Times New Roman" w:hAnsi="Times New Roman" w:eastAsia="Times New Roman"/>
          <w:b w:val="0"/>
          <w:i w:val="0"/>
          <w:sz w:val="24"/>
        </w:rPr>
        <w:t>Nearing, G.S., Kratzert, F., Sampson, A.K., Pelissier, C.S., Klotz, D., Frame, J.M., Prieto, C., Gupta, H.V., 2021. What role does hydrological science play in the age of machine learning? Water Resour. Res. 57, e2020WR028091.</w:t>
      </w:r>
    </w:p>
    <w:p w14:paraId="0BDEC78E">
      <w:pPr>
        <w:spacing w:line="480" w:lineRule="auto"/>
        <w:ind w:left="480" w:hanging="480"/>
      </w:pPr>
      <w:r>
        <w:rPr>
          <w:rFonts w:ascii="Times New Roman" w:hAnsi="Times New Roman" w:eastAsia="Times New Roman"/>
          <w:b w:val="0"/>
          <w:i w:val="0"/>
          <w:sz w:val="24"/>
        </w:rPr>
        <w:t>Reichstein, M., Camps-Valls, G., Stevens, B., Jung, M., Denzler, J., Carvalhais, N., Prabhat, 2019. Deep learning and process understanding for data-driven Earth system science. Nature 566, 195–204.</w:t>
      </w:r>
    </w:p>
    <w:p w14:paraId="2642022E">
      <w:pPr>
        <w:spacing w:line="480" w:lineRule="auto"/>
        <w:ind w:left="480" w:hanging="480"/>
      </w:pPr>
      <w:r>
        <w:rPr>
          <w:rFonts w:ascii="Times New Roman" w:hAnsi="Times New Roman" w:eastAsia="Times New Roman"/>
          <w:b w:val="0"/>
          <w:i w:val="0"/>
          <w:sz w:val="24"/>
        </w:rPr>
        <w:t>Shen, C., 2018. A transdisciplinary review of deep learning research and its relevance for water resources scientists. Water Resour. Res. 54, 8558–8593.</w:t>
      </w:r>
    </w:p>
    <w:p w14:paraId="4E4D0FB5">
      <w:pPr>
        <w:spacing w:line="480" w:lineRule="auto"/>
        <w:ind w:left="480" w:hanging="480"/>
      </w:pPr>
      <w:r>
        <w:rPr>
          <w:rFonts w:ascii="Times New Roman" w:hAnsi="Times New Roman" w:eastAsia="Times New Roman"/>
          <w:b w:val="0"/>
          <w:i w:val="0"/>
          <w:sz w:val="24"/>
        </w:rPr>
        <w:t>U.S. Geological Survey, 2024. National Water Information System data available on the World Wide Web (USGS Water Data for the Nation). https://waterdata.usgs.gov/nwis.</w:t>
      </w:r>
    </w:p>
    <w:sectPr>
      <w:pgSz w:w="12240" w:h="15840"/>
      <w:pgMar w:top="1417" w:right="1417" w:bottom="1417" w:left="1417" w:header="720" w:footer="720" w:gutter="0"/>
      <w:lnNumType w:countBy="1"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CA50F4"/>
    <w:rsid w:val="54B124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1722</Words>
  <Characters>10195</Characters>
  <Lines>0</Lines>
  <Paragraphs>0</Paragraphs>
  <TotalTime>3</TotalTime>
  <ScaleCrop>false</ScaleCrop>
  <LinksUpToDate>false</LinksUpToDate>
  <CharactersWithSpaces>11610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喵</cp:lastModifiedBy>
  <dcterms:modified xsi:type="dcterms:W3CDTF">2026-07-22T14:15:06Z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eyJoZGlkIjoiNDlmMDVhZDE0MGFlMTk4YTNhNDQwNzQ2NzkzYjVlMjkiLCJ1c2VySWQiOiIxNjY5MDUwMTQ0In0=</vt:lpwstr>
  </property>
  <property fmtid="{D5CDD505-2E9C-101B-9397-08002B2CF9AE}" pid="3" name="KSOProductBuildVer">
    <vt:lpwstr>2052-12.1.0.26895</vt:lpwstr>
  </property>
  <property fmtid="{D5CDD505-2E9C-101B-9397-08002B2CF9AE}" pid="4" name="ICV">
    <vt:lpwstr>87BEF3232AEE4778B7BF4CA5546583BC_12</vt:lpwstr>
  </property>
</Properties>
</file>