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Highlights</w:t>
      </w:r>
    </w:p>
    <w:p>
      <w:pPr>
        <w:spacing w:line="480" w:lineRule="auto"/>
        <w:ind w:left="360"/>
      </w:pPr>
      <w:r>
        <w:rPr>
          <w:rFonts w:ascii="Times New Roman" w:hAnsi="Times New Roman" w:eastAsia="Times New Roman"/>
          <w:b w:val="0"/>
          <w:i w:val="0"/>
          <w:sz w:val="24"/>
        </w:rPr>
        <w:t>• Upstream Potomac gauges lift 1-day forecast NSE versus local-only inputs.</w:t>
      </w:r>
    </w:p>
    <w:p>
      <w:pPr>
        <w:spacing w:line="480" w:lineRule="auto"/>
        <w:ind w:left="360"/>
      </w:pPr>
      <w:r>
        <w:rPr>
          <w:rFonts w:ascii="Times New Roman" w:hAnsi="Times New Roman" w:eastAsia="Times New Roman"/>
          <w:b w:val="0"/>
          <w:i w:val="0"/>
          <w:sz w:val="24"/>
        </w:rPr>
        <w:t>• LSTM-Attention leads at 1 day; skill falls sharply toward the weekly horizon.</w:t>
      </w:r>
    </w:p>
    <w:p>
      <w:pPr>
        <w:spacing w:line="480" w:lineRule="auto"/>
        <w:ind w:left="360"/>
      </w:pPr>
      <w:r>
        <w:rPr>
          <w:rFonts w:ascii="Times New Roman" w:hAnsi="Times New Roman" w:eastAsia="Times New Roman"/>
          <w:b w:val="0"/>
          <w:i w:val="0"/>
          <w:sz w:val="24"/>
        </w:rPr>
        <w:t>• High-flow NSE and peak timing expose flood-relevant model limits.</w:t>
      </w:r>
    </w:p>
    <w:p>
      <w:pPr>
        <w:spacing w:line="480" w:lineRule="auto"/>
        <w:ind w:left="360"/>
      </w:pPr>
      <w:r>
        <w:rPr>
          <w:rFonts w:ascii="Times New Roman" w:hAnsi="Times New Roman" w:eastAsia="Times New Roman"/>
          <w:b w:val="0"/>
          <w:i w:val="0"/>
          <w:sz w:val="24"/>
        </w:rPr>
        <w:t>• Permutation tests rank local discharge highest, then upstream flows.</w:t>
      </w:r>
    </w:p>
    <w:p>
      <w:pPr>
        <w:spacing w:line="480" w:lineRule="auto"/>
        <w:ind w:left="360"/>
      </w:pPr>
      <w:r>
        <w:rPr>
          <w:rFonts w:ascii="Times New Roman" w:hAnsi="Times New Roman" w:eastAsia="Times New Roman"/>
          <w:b w:val="0"/>
          <w:i w:val="0"/>
          <w:sz w:val="24"/>
        </w:rPr>
        <w:t>• Results guide mid-Atlantic short-range forecasting network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