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Dear Editor,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Please consider our manuscript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“Operational missingness reverses method rankings in aquatic monitoring networks: a Mask-View protocol on a lake station grid and a shelf oxygen cube”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for publication in Journal of Hydroinformatics.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We submit a missingness protocol, not a new sequence architecture. Automatic stations and Argo-like profiles fail as blocks, dropped parameters and column blackouts; MCAR-only benchmarks over-rank linear interpolators and dense-history deep models. Using one pattern bank on Dianchi automatic stations and an East China Sea oxygen cube, we show that winner identity is protocol-dependent. Linear interpolation wins a 2025 Ecological Informatics random/week-gap bank and a year-shift replay of real outages, but collapses under Mask-View sensor and station windows. On the shelf, a Transformer remains first at one-month lead after fair masked persistence is scored; the apparent station tax is mostly how much oxygen history remains, not a unique column geometry, and lead-2 reverts to climatology.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work fits Hydroinformatics’ data-driven modelling and water-quality informatics scope. Code and frozen tables: https://github.com/Az0998/maskview-aquatic-protocol.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Sincerely,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Senjie Zhang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Lanzhou University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3079099853@qq.com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