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544C6F6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/>
      <w:bookmarkStart w:id="0" w:name="_Hlk190356089"/>
      <w:r/>
      <w:bookmarkEnd w:id="0"/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Министерство образования Республики Беларусь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 w14:paraId="3A918C68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 w14:paraId="7CC43EBB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Учреждение образования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0FA77AAE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БЕЛОРУССКИЙ ГОСУДАРСТВЕННЫЙ УНИВЕРСИТЕТ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 w14:paraId="271A2AAC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ИНФОРМАТИКИ И РАДИОЭЛЕКТРОНИКИ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 w14:paraId="31E3CA93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tbl>
      <w:tblPr>
        <w:tblStyle w:val="903"/>
        <w:tblW w:w="0" w:type="auto"/>
        <w:tblCellMar>
          <w:left w:w="0" w:type="dxa"/>
          <w:right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473"/>
        <w:gridCol w:w="7871"/>
      </w:tblGrid>
      <w:tr>
        <w:trPr/>
        <w:tc>
          <w:tcPr>
            <w:tcBorders/>
            <w:tcW w:w="1473" w:type="dxa"/>
          </w:tcPr>
          <w:p w14:paraId="0ADF24D3" w14:textId="77777777">
            <w:pPr>
              <w:pBdr/>
              <w:spacing w:after="0"/>
              <w:ind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Факультет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Borders/>
            <w:tcW w:w="7871" w:type="dxa"/>
          </w:tcPr>
          <w:p w14:paraId="2D9467B4" w14:textId="77777777">
            <w:pPr>
              <w:pBdr/>
              <w:spacing w:after="0"/>
              <w:ind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инженерно-экономический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rPr/>
        <w:tc>
          <w:tcPr>
            <w:tcBorders/>
            <w:tcW w:w="1473" w:type="dxa"/>
          </w:tcPr>
          <w:p w14:paraId="1224C97E" w14:textId="77777777">
            <w:pPr>
              <w:pBdr/>
              <w:spacing w:after="0"/>
              <w:ind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Borders/>
            <w:tcW w:w="7871" w:type="dxa"/>
          </w:tcPr>
          <w:p w14:paraId="28529681" w14:textId="77777777">
            <w:pPr>
              <w:pBdr/>
              <w:spacing w:after="0"/>
              <w:ind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rPr/>
        <w:tc>
          <w:tcPr>
            <w:tcBorders/>
            <w:tcW w:w="1473" w:type="dxa"/>
          </w:tcPr>
          <w:p w14:paraId="46903A97" w14:textId="77777777">
            <w:pPr>
              <w:pBdr/>
              <w:spacing w:after="0"/>
              <w:ind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Кафедра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Borders/>
            <w:tcW w:w="7871" w:type="dxa"/>
          </w:tcPr>
          <w:p w14:paraId="262494B7" w14:textId="77777777">
            <w:pPr>
              <w:pBdr/>
              <w:spacing w:after="0"/>
              <w:ind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экономической информатики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</w:tbl>
    <w:p w14:paraId="4EA2B0EF" w14:textId="77777777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526A90C6" w14:textId="77777777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5D40CE80" w14:textId="77777777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1A3EE4C9" w14:textId="77777777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79DBB627" w14:textId="77777777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7CE7ECC7" w14:textId="77777777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68737CCF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ОТЧЕТ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 w14:paraId="31880E68" w14:textId="0C56FED0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eastAsia="ru-RU"/>
        </w:rPr>
        <w:t xml:space="preserve">по лабораторной работе №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 w14:paraId="4B9D7343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на тему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 w14:paraId="725BB61E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 w14:paraId="2C42CC29" w14:textId="46F6B1D1">
      <w:pPr>
        <w:pBdr/>
        <w:spacing w:after="0" w:line="24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color w:val="000000" w:themeColor="text1" w:themeTint="FF" w:themeShade="FF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 w:themeTint="FF" w:themeShade="FF"/>
          <w:sz w:val="28"/>
          <w:szCs w:val="28"/>
          <w:lang w:eastAsia="ru-RU"/>
        </w:rPr>
        <w:t xml:space="preserve">Инструменты и средства разработки сценариев в системах непрерывной интеграции</w:t>
      </w:r>
      <w:r>
        <w:rPr>
          <w:rFonts w:ascii="Times New Roman" w:hAnsi="Times New Roman" w:eastAsia="Times New Roman" w:cs="Times New Roman"/>
          <w:b/>
          <w:bCs/>
          <w:color w:val="000000" w:themeColor="text1" w:themeTint="FF" w:themeShade="FF"/>
          <w:sz w:val="28"/>
          <w:szCs w:val="28"/>
          <w:lang w:eastAsia="ru-RU"/>
        </w:rPr>
      </w:r>
      <w:r/>
    </w:p>
    <w:p w14:paraId="5F855EEE" w14:textId="1AA847E8">
      <w:pPr>
        <w:pStyle w:val="886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r>
    </w:p>
    <w:p w14:paraId="689D9F1C" w14:textId="6EE08C46">
      <w:pPr>
        <w:pStyle w:val="886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 w:themeTint="FF" w:themeShade="F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 w:themeTint="FF" w:themeShade="FF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 w:themeTint="FF" w:themeShade="FF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 w:themeTint="FF" w:themeShade="FF"/>
          <w:sz w:val="28"/>
          <w:szCs w:val="28"/>
          <w:lang w:eastAsia="ru-RU"/>
        </w:rPr>
      </w:r>
    </w:p>
    <w:p w14:paraId="1A97B64B" w14:textId="77777777">
      <w:pPr>
        <w:pBdr/>
        <w:tabs>
          <w:tab w:val="left" w:leader="none" w:pos="6946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 w14:paraId="493908F4" w14:textId="77777777">
      <w:pPr>
        <w:pBdr/>
        <w:tabs>
          <w:tab w:val="left" w:leader="none" w:pos="6946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 w14:paraId="2C194AD7" w14:textId="77777777">
      <w:pPr>
        <w:pBdr/>
        <w:tabs>
          <w:tab w:val="left" w:leader="none" w:pos="6946"/>
        </w:tabs>
        <w:spacing w:after="0" w:line="240" w:lineRule="auto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Выполнил</w:t>
      </w:r>
      <w:r>
        <w:tab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студент гр. 472302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</w:p>
    <w:p w14:paraId="6158D78C" w14:textId="77777777">
      <w:pPr>
        <w:pBdr/>
        <w:tabs>
          <w:tab w:val="left" w:leader="none" w:pos="6946"/>
        </w:tabs>
        <w:spacing w:after="0" w:line="360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И. В. Нитченко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2851ED9A" w14:textId="28C5AF47">
      <w:pPr>
        <w:pStyle w:val="886"/>
        <w:pBdr/>
        <w:tabs>
          <w:tab w:val="left" w:leader="none" w:pos="6946"/>
        </w:tabs>
        <w:spacing w:after="0" w:line="36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eastAsia="ru-RU"/>
        </w:rPr>
        <w:t xml:space="preserve">Проверил</w:t>
      </w:r>
      <w:r>
        <w:tab/>
      </w:r>
      <w: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eastAsia="ru-RU"/>
        </w:rPr>
        <w:t xml:space="preserve">В. В. </w:t>
      </w:r>
      <w: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Дятел</w:t>
      </w:r>
      <w:r/>
    </w:p>
    <w:p w14:paraId="6A14FB51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41FA527A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3B3AFC6B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60F27680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50B90057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644EDC66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406A2A3E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0714BB1B" w14:textId="79A83FF8">
      <w:pPr>
        <w:pStyle w:val="886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4FC2EDD8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</w:p>
    <w:p w14:paraId="612C0819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 w14:paraId="065949C5" w14:textId="415AB44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Минск 202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6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</w:r>
    </w:p>
    <w:p w14:paraId="2A6FC816" w14:textId="46B12EA6">
      <w:pPr>
        <w:pBdr/>
        <w:spacing w:after="0" w:line="240" w:lineRule="auto"/>
        <w:ind w:hanging="255" w:left="964"/>
        <w:rPr>
          <w:rFonts w:ascii="Times New Roman" w:hAnsi="Times New Roman" w:eastAsia="Times New Roman" w:cs="Times New Roman"/>
          <w:b/>
          <w:bCs/>
          <w:caps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aps/>
          <w:color w:val="000000" w:themeColor="text1" w:themeTint="FF" w:themeShade="FF"/>
          <w:sz w:val="28"/>
          <w:szCs w:val="28"/>
          <w:lang w:eastAsia="ru-RU"/>
        </w:rPr>
        <w:t xml:space="preserve">1 ЦЕЛЬ РАБОТЫ</w:t>
      </w:r>
      <w:r>
        <w:rPr>
          <w:rFonts w:ascii="Times New Roman" w:hAnsi="Times New Roman" w:eastAsia="Times New Roman" w:cs="Times New Roman"/>
          <w:b/>
          <w:bCs/>
          <w:caps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aps/>
          <w:color w:val="000000" w:themeColor="text1"/>
          <w:sz w:val="28"/>
          <w:szCs w:val="28"/>
          <w:lang w:eastAsia="ru-RU"/>
        </w:rPr>
      </w:r>
    </w:p>
    <w:p w14:paraId="4E46BFB7" w14:textId="4FD8688B">
      <w:pPr>
        <w:pBdr/>
        <w:spacing w:after="0" w:line="240" w:lineRule="auto"/>
        <w:ind w:firstLine="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eastAsia="ru-RU"/>
        </w:rPr>
      </w:r>
    </w:p>
    <w:p w14:paraId="2D115A0A" w14:textId="621C5F55">
      <w:pPr>
        <w:pBdr/>
        <w:spacing w:after="0" w:afterAutospacing="0" w:before="0" w:beforeAutospacing="0" w:line="24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Ц</w:t>
      </w:r>
      <w: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елью данной лабораторной работы является ликвидация разрыва между написанием изолированного Java-кода в IDE и его промышленной сборкой. Обучающимся предстоит освоить эволюцию систем автоматизации на платформе Java (от классического процедурного Apache Ant </w:t>
      </w:r>
      <w: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о декларативного Apache Maven и современного Gradle), научиться конфигурировать рантайм для тестов нового поколения JUnit 5, а также экспериментально исследовать, как падение одного модульного теста блокирует выпуск всего релиза, гарантируя надежность пост</w:t>
      </w:r>
      <w: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авляемого ПО.</w:t>
      </w:r>
      <w: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r>
      <w:r/>
    </w:p>
    <w:p w14:paraId="3012F508" w14:textId="314F1216"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eastAsia="ru-RU"/>
        </w:rPr>
      </w:r>
    </w:p>
    <w:p w14:paraId="62681E32" w14:textId="0348A9E5"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eastAsia="ru-RU"/>
        </w:rPr>
      </w:r>
    </w:p>
    <w:p w14:paraId="57D784FC" w14:textId="063B356A">
      <w:pPr>
        <w:pStyle w:val="886"/>
        <w:pBdr/>
        <w:spacing w:after="0" w:line="240" w:lineRule="auto"/>
        <w:ind w:hanging="255" w:left="964"/>
        <w:rPr/>
      </w:pPr>
      <w:r>
        <w:rPr>
          <w:rFonts w:ascii="Times New Roman" w:hAnsi="Times New Roman" w:eastAsia="Times New Roman" w:cs="Times New Roman"/>
          <w:b/>
          <w:bCs/>
          <w:caps/>
          <w:color w:val="000000" w:themeColor="text1" w:themeTint="FF" w:themeShade="FF"/>
          <w:sz w:val="28"/>
          <w:szCs w:val="28"/>
          <w:lang w:eastAsia="ru-RU"/>
        </w:rPr>
        <w:t xml:space="preserve">2 </w:t>
      </w:r>
      <w:r>
        <w:rPr>
          <w:rFonts w:ascii="Times New Roman" w:hAnsi="Times New Roman" w:eastAsia="Times New Roman" w:cs="Times New Roman"/>
          <w:b/>
          <w:bCs/>
          <w:color w:val="000000" w:themeColor="text1" w:themeTint="FF" w:themeShade="FF"/>
          <w:sz w:val="28"/>
          <w:szCs w:val="28"/>
          <w:lang w:val="ru-RU"/>
        </w:rPr>
        <w:t xml:space="preserve">СТРУКТУРА ПРОЕКТА</w:t>
      </w:r>
      <w:r/>
    </w:p>
    <w:p w14:paraId="2395B42B"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 w14:paraId="38474142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52274" cy="527631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95049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052274" cy="52763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1.60pt;height:415.4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</w:r>
    </w:p>
    <w:p w14:paraId="1D5EEAE5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</w:p>
    <w:p w14:paraId="27DB0431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Рисунок 1 – Структура проекта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</w:r>
    </w:p>
    <w:p w14:paraId="1F839FAA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</w:r>
    </w:p>
    <w:p w14:paraId="07316E13">
      <w:pPr>
        <w:pBdr/>
        <w:spacing w:after="0" w:line="24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 корне проекта находятся файлы, описывающие сборку. Файл build.xml содержит сценарий для Apache Ant с целями clean, compile, compile-tests, test, report, jar, run и all. Файл pom.xml описывает проект для Apache Maven: его координаты, зависимость от JUnit 5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и плагины compiler, surefire, jar и surefire-report. Для Gradle предназначены файлы build.gradle и settings.gradle: первый подключает плагины java и application, зависимости JUnit 5 и настройки задачи test, а второй задаёт имя проекта. Gradle Wrapper соста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ляют скрипты gradlew (для Linux и macOS) и gradlew.bat (для Windows) вместе с каталогом gradle/wrapper, в котором хранятся файл gradle-wrapper.jar и файл gradle-wrapper.properties с адресом нужной версии Gradle (8.7). Благодаря wrapper устанавливать Gradle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 вручную не требуется, и у всех участников работы используется одна и та же версия инструмента.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</w:r>
      <w:r/>
    </w:p>
    <w:p w14:paraId="3C6573A7">
      <w:pPr>
        <w:pBdr/>
        <w:spacing w:after="0" w:line="24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К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аталог lib предназначен для библиотек, которые использует Ant. В него командой ant download-deps скачивается файл junit-platform-console-standalone-1.10.2.jar, необходимый для запуска тестов JUnit 5. Maven и Gradle этот каталог не используют, так как самос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оятельно загружают зависимости из Maven Central. Каталог .github/workflows содержит файл ci.yml с конфигурацией GitHub Actions: три независимых задания (для Maven, Gradle и Ant) автоматически собирают проект и запускают тесты при каждом push и при создании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pull request. Файл .gitignore исключает из системы контроля версий всё, что создаётся в процессе сборки, чтобы в репозиторий попадали только исходные файлы: каталоги target (Maven), build и .gradle (Gradle), build-ant (Ant), скачанные jar-файлы из lib и сл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ужебные файлы среды разработки.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</w:r>
      <w:r/>
    </w:p>
    <w:p w14:paraId="1175C4B6">
      <w:pPr>
        <w:pBdr/>
        <w:spacing w:after="0" w:line="24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П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омимо перечисленного, после запуска сборки в проекте появляются каталоги с результатами, и у каждого инструмента он свой. Ant складывает классы, XML- и HTML-отчёты и jar-файл в каталог build-ant, Maven использует каталог target (в нём лежат классы, результ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ты Surefire в подкаталоге surefire-reports, отчёт в подкаталоге site и jar-файл), а Gradle создаёт каталог build, где находятся классы, отчёты в reports/tests, результаты в test-results и jar-файл в libs. Отдельные выходные каталоги позволяют собирать прое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кт тремя способами независимо друг от друга, не смешивая результаты, при этом все три инструмента используют один и тот же исходный код из каталога src.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/>
        </w:rPr>
      </w:r>
    </w:p>
    <w:p w14:paraId="1EC8DEE8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</w:p>
    <w:p w14:paraId="24C6A474">
      <w:pPr>
        <w:pBdr/>
        <w:spacing w:after="0" w:line="240" w:lineRule="auto"/>
        <w:ind w:right="0" w:firstLine="709" w:left="0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3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МОДУЛЬНЫЕ ТЕСТЫ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JUNIT5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</w:rPr>
      </w:r>
    </w:p>
    <w:p w14:paraId="24F24A4D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</w:p>
    <w:p w14:paraId="2FE1DAED">
      <w:pPr>
        <w:pBdr/>
        <w:spacing w:after="120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1 – Сценарии модульных тестов класса DepositCalculatorTest</w:t>
      </w:r>
      <w:r/>
    </w:p>
    <w:tbl>
      <w:tblPr>
        <w:tblW w:w="93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600"/>
        <w:gridCol w:w="2500"/>
        <w:gridCol w:w="2855"/>
        <w:gridCol w:w="3400"/>
      </w:tblGrid>
      <w:tr>
        <w:trPr>
          <w:cantSplit/>
          <w:tblHeader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  <w:vAlign w:val="center"/>
          </w:tcPr>
          <w:p w14:paraId="567E948E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№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 w14:paraId="01197B86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Тестовый метод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55" w:type="dxa"/>
            <w:vAlign w:val="center"/>
          </w:tcPr>
          <w:p w14:paraId="79AF1FEF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Входные данные (сумма; ставка, %; срок, мес.)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  <w:vAlign w:val="center"/>
          </w:tcPr>
          <w:p w14:paraId="06048418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Ожидаемый результат</w:t>
            </w:r>
            <w:r/>
          </w:p>
        </w:tc>
      </w:tr>
      <w:tr>
        <w:trPr>
          <w:cantSplit/>
        </w:trPr>
        <w:tc>
          <w:tcPr>
            <w:gridSpan w:val="4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55" w:type="dxa"/>
            <w:vAlign w:val="center"/>
          </w:tcPr>
          <w:p w14:paraId="7E098EF8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Позитивные сценарии</w:t>
            </w:r>
            <w:r/>
          </w:p>
        </w:tc>
      </w:tr>
      <w:tr>
        <w:trPr>
          <w:cantSplit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  <w:vAlign w:val="center"/>
          </w:tcPr>
          <w:p w14:paraId="6B4F9BB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 w14:paraId="4FE45FC7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oneMonth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55" w:type="dxa"/>
            <w:vAlign w:val="center"/>
          </w:tcPr>
          <w:p w14:paraId="593980E9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1000; 12; 1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  <w:vAlign w:val="center"/>
          </w:tcPr>
          <w:p w14:paraId="2CEB5A10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1010.00</w:t>
            </w:r>
            <w:r/>
          </w:p>
        </w:tc>
      </w:tr>
      <w:tr>
        <w:trPr>
          <w:cantSplit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  <w:vAlign w:val="center"/>
          </w:tcPr>
          <w:p w14:paraId="3C656720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 w14:paraId="1D9CF68A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twelveMonths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55" w:type="dxa"/>
            <w:vAlign w:val="center"/>
          </w:tcPr>
          <w:p w14:paraId="62C07D0D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1000; 12; 12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  <w:vAlign w:val="center"/>
          </w:tcPr>
          <w:p w14:paraId="283DC592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1126.84</w:t>
            </w:r>
            <w:r/>
          </w:p>
        </w:tc>
      </w:tr>
      <w:tr>
        <w:trPr>
          <w:cantSplit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  <w:vAlign w:val="center"/>
          </w:tcPr>
          <w:p w14:paraId="1BABAD94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3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 w14:paraId="2BBD7E1F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parameterized (1)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55" w:type="dxa"/>
            <w:vAlign w:val="center"/>
          </w:tcPr>
          <w:p w14:paraId="0983A03A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1000; 12; 1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  <w:vAlign w:val="center"/>
          </w:tcPr>
          <w:p w14:paraId="05C209FB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1010.00</w:t>
            </w:r>
            <w:r/>
          </w:p>
        </w:tc>
      </w:tr>
      <w:tr>
        <w:trPr>
          <w:cantSplit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  <w:vAlign w:val="center"/>
          </w:tcPr>
          <w:p w14:paraId="728F5EFA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 w14:paraId="7A9DB009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parameterized (2)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55" w:type="dxa"/>
            <w:vAlign w:val="center"/>
          </w:tcPr>
          <w:p w14:paraId="61647319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1000; 12; 2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  <w:vAlign w:val="center"/>
          </w:tcPr>
          <w:p w14:paraId="015B0D37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1020.10</w:t>
            </w:r>
            <w:r/>
          </w:p>
        </w:tc>
      </w:tr>
      <w:tr>
        <w:trPr>
          <w:cantSplit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  <w:vAlign w:val="center"/>
          </w:tcPr>
          <w:p w14:paraId="06A4FEC4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5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 w14:paraId="3938CCF2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parameterized (3)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55" w:type="dxa"/>
            <w:vAlign w:val="center"/>
          </w:tcPr>
          <w:p w14:paraId="7AAC1736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500; 0; 6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  <w:vAlign w:val="center"/>
          </w:tcPr>
          <w:p w14:paraId="41C82982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500.00</w:t>
            </w:r>
            <w:r/>
          </w:p>
        </w:tc>
      </w:tr>
      <w:tr>
        <w:trPr>
          <w:cantSplit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  <w:vAlign w:val="center"/>
          </w:tcPr>
          <w:p w14:paraId="3988900B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6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 w14:paraId="1CA3E1D9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parameterized (4)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55" w:type="dxa"/>
            <w:vAlign w:val="center"/>
          </w:tcPr>
          <w:p w14:paraId="24978FE4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2000; 6; 1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  <w:vAlign w:val="center"/>
          </w:tcPr>
          <w:p w14:paraId="4A93537A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2010.00</w:t>
            </w:r>
            <w:r/>
          </w:p>
        </w:tc>
      </w:tr>
      <w:tr>
        <w:trPr>
          <w:cantSplit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  <w:vAlign w:val="center"/>
          </w:tcPr>
          <w:p w14:paraId="29A36E7D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7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 w14:paraId="44C8C5A5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interestOnly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55" w:type="dxa"/>
            <w:vAlign w:val="center"/>
          </w:tcPr>
          <w:p w14:paraId="4CA00294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1000; 12; 1 (только проценты)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  <w:vAlign w:val="center"/>
          </w:tcPr>
          <w:p w14:paraId="23BF60D8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10.00</w:t>
            </w:r>
            <w:r/>
          </w:p>
        </w:tc>
      </w:tr>
      <w:tr>
        <w:trPr>
          <w:cantSplit/>
        </w:trPr>
        <w:tc>
          <w:tcPr>
            <w:gridSpan w:val="4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55" w:type="dxa"/>
            <w:vAlign w:val="center"/>
          </w:tcPr>
          <w:p w14:paraId="3CDF1C93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Граничные сценарии</w:t>
            </w:r>
            <w:r/>
          </w:p>
        </w:tc>
      </w:tr>
      <w:tr>
        <w:trPr>
          <w:cantSplit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  <w:vAlign w:val="center"/>
          </w:tcPr>
          <w:p w14:paraId="60F2A0A0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8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 w14:paraId="4B0118F4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zeroMonths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55" w:type="dxa"/>
            <w:vAlign w:val="center"/>
          </w:tcPr>
          <w:p w14:paraId="0453CD8A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1000; 12; 0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  <w:vAlign w:val="center"/>
          </w:tcPr>
          <w:p w14:paraId="779CCF81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1000.00 (сумма не меняется)</w:t>
            </w:r>
            <w:r/>
          </w:p>
        </w:tc>
      </w:tr>
      <w:tr>
        <w:trPr>
          <w:cantSplit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  <w:vAlign w:val="center"/>
          </w:tcPr>
          <w:p w14:paraId="4CB60F3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9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 w14:paraId="6DF01A87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zeroRate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55" w:type="dxa"/>
            <w:vAlign w:val="center"/>
          </w:tcPr>
          <w:p w14:paraId="38D7C760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1000; 0; 12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  <w:vAlign w:val="center"/>
          </w:tcPr>
          <w:p w14:paraId="34879359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1000.00 (сумма не меняется)</w:t>
            </w:r>
            <w:r/>
          </w:p>
        </w:tc>
      </w:tr>
      <w:tr>
        <w:trPr>
          <w:cantSplit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  <w:vAlign w:val="center"/>
          </w:tcPr>
          <w:p w14:paraId="6182A158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10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 w14:paraId="48C01A4D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minimalPrincipal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55" w:type="dxa"/>
            <w:vAlign w:val="center"/>
          </w:tcPr>
          <w:p w14:paraId="09FDDE9F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0.01; 12; 1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  <w:vAlign w:val="center"/>
          </w:tcPr>
          <w:p w14:paraId="4B60D3F0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0.01 (рост не начисляется)</w:t>
            </w:r>
            <w:r/>
          </w:p>
        </w:tc>
      </w:tr>
      <w:tr>
        <w:trPr>
          <w:cantSplit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  <w:vAlign w:val="center"/>
          </w:tcPr>
          <w:p w14:paraId="716483E1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11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 w14:paraId="55FC8D4C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maxRate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55" w:type="dxa"/>
            <w:vAlign w:val="center"/>
          </w:tcPr>
          <w:p w14:paraId="26157EE6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1200; 100; 1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  <w:vAlign w:val="center"/>
          </w:tcPr>
          <w:p w14:paraId="5D9D2EA1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1300.00</w:t>
            </w:r>
            <w:r/>
          </w:p>
        </w:tc>
      </w:tr>
      <w:tr>
        <w:trPr>
          <w:cantSplit/>
        </w:trPr>
        <w:tc>
          <w:tcPr>
            <w:gridSpan w:val="4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55" w:type="dxa"/>
            <w:vAlign w:val="center"/>
          </w:tcPr>
          <w:p w14:paraId="367F0132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Ошибочные сценарии</w:t>
            </w:r>
            <w:r/>
          </w:p>
        </w:tc>
      </w:tr>
      <w:tr>
        <w:trPr>
          <w:cantSplit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  <w:vAlign w:val="center"/>
          </w:tcPr>
          <w:p w14:paraId="54ADCD43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12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 w14:paraId="21AEECFD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negativePrincipal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55" w:type="dxa"/>
            <w:vAlign w:val="center"/>
          </w:tcPr>
          <w:p w14:paraId="4A913B3C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-1; 5; 1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  <w:vAlign w:val="center"/>
          </w:tcPr>
          <w:p w14:paraId="6DDE1031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IllegalArgumentException</w:t>
            </w:r>
            <w:r/>
          </w:p>
        </w:tc>
      </w:tr>
      <w:tr>
        <w:trPr>
          <w:cantSplit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  <w:vAlign w:val="center"/>
          </w:tcPr>
          <w:p w14:paraId="32B8BBD3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13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 w14:paraId="5A99B293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zeroPrincipal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55" w:type="dxa"/>
            <w:vAlign w:val="center"/>
          </w:tcPr>
          <w:p w14:paraId="64D376E1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0; 5; 1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  <w:vAlign w:val="center"/>
          </w:tcPr>
          <w:p w14:paraId="67EBB0AF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IllegalArgumentException</w:t>
            </w:r>
            <w:r/>
          </w:p>
        </w:tc>
      </w:tr>
      <w:tr>
        <w:trPr>
          <w:cantSplit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  <w:vAlign w:val="center"/>
          </w:tcPr>
          <w:p w14:paraId="728355E0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14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 w14:paraId="5B4D8021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negativeRate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55" w:type="dxa"/>
            <w:vAlign w:val="center"/>
          </w:tcPr>
          <w:p w14:paraId="768CCC39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100; -0.1; 1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  <w:vAlign w:val="center"/>
          </w:tcPr>
          <w:p w14:paraId="5DB63A42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IllegalArgumentException</w:t>
            </w:r>
            <w:r/>
          </w:p>
        </w:tc>
      </w:tr>
      <w:tr>
        <w:trPr>
          <w:cantSplit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  <w:vAlign w:val="center"/>
          </w:tcPr>
          <w:p w14:paraId="5F76CD2B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15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 w14:paraId="2F3D5426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rateAbove100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55" w:type="dxa"/>
            <w:vAlign w:val="center"/>
          </w:tcPr>
          <w:p w14:paraId="3CE2759D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100; 100.01; 1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  <w:vAlign w:val="center"/>
          </w:tcPr>
          <w:p w14:paraId="400B16A3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IllegalArgumentException</w:t>
            </w:r>
            <w:r/>
          </w:p>
        </w:tc>
      </w:tr>
      <w:tr>
        <w:trPr>
          <w:cantSplit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  <w:vAlign w:val="center"/>
          </w:tcPr>
          <w:p w14:paraId="74C79421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16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 w14:paraId="50CA03A7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negativeMonths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55" w:type="dxa"/>
            <w:vAlign w:val="center"/>
          </w:tcPr>
          <w:p w14:paraId="3DB10969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100; 5; -1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  <w:vAlign w:val="center"/>
          </w:tcPr>
          <w:p w14:paraId="19508BB2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IllegalArgumentException</w:t>
            </w:r>
            <w:r/>
          </w:p>
        </w:tc>
      </w:tr>
      <w:tr>
        <w:trPr>
          <w:cantSplit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  <w:vAlign w:val="center"/>
          </w:tcPr>
          <w:p w14:paraId="60167B31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17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00" w:type="dxa"/>
            <w:vAlign w:val="center"/>
          </w:tcPr>
          <w:p w14:paraId="385A57A7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nullArguments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55" w:type="dxa"/>
            <w:vAlign w:val="center"/>
          </w:tcPr>
          <w:p w14:paraId="7510CDF5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null; 5; 1 и 100; null; 1 (две проверки)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  <w:vAlign w:val="center"/>
          </w:tcPr>
          <w:p w14:paraId="33D65606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IllegalArgumentException в обоих случаях</w:t>
            </w:r>
            <w:r/>
          </w:p>
        </w:tc>
      </w:tr>
    </w:tbl>
    <w:p>
      <w:pPr>
        <w:pBdr/>
        <w:spacing w:after="0" w:line="240" w:lineRule="auto"/>
        <w:ind/>
        <w:rPr/>
      </w:pPr>
      <w:r/>
      <w:r/>
    </w:p>
    <w:p>
      <w:pPr>
        <w:pStyle w:val="886"/>
        <w:pBdr/>
        <w:spacing w:after="0" w:line="240" w:lineRule="auto"/>
        <w:ind w:hanging="255" w:left="964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caps/>
          <w:color w:val="000000" w:themeColor="text1"/>
          <w:sz w:val="28"/>
          <w:szCs w:val="28"/>
          <w:lang w:val="en-US"/>
        </w:rPr>
        <w:t xml:space="preserve">4</w:t>
      </w:r>
      <w:r>
        <w:rPr>
          <w:rFonts w:ascii="Times New Roman" w:hAnsi="Times New Roman" w:eastAsia="Times New Roman" w:cs="Times New Roman"/>
          <w:b/>
          <w:bCs/>
          <w:caps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РЕЗУЛЬТАТЫ ЗАПУСКА ТЕСТОВ</w:t>
      </w:r>
      <w:r/>
    </w:p>
    <w:p w14:paraId="6464FE80">
      <w:pPr>
        <w:pStyle w:val="886"/>
        <w:pBdr/>
        <w:spacing w:after="0" w:line="240" w:lineRule="auto"/>
        <w:ind w:hanging="255" w:left="964"/>
        <w:rPr/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</w:r>
    </w:p>
    <w:p>
      <w:pPr>
        <w:pBdr/>
        <w:spacing w:after="0" w:line="24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Модульные тесты запускались из корня проекта командами mvn test (Maven), ./gradlew test (Gradle) и ant test (Ant). Результаты выполнения приведены на рисунках 2–4.</w:t>
      </w:r>
      <w:r/>
    </w:p>
    <w:p>
      <w:pPr>
        <w:pBdr/>
        <w:spacing w:after="0" w:line="240" w:lineRule="auto"/>
        <w:ind/>
        <w:rPr/>
      </w:pPr>
      <w:r/>
      <w:r/>
    </w:p>
    <w:p w14:paraId="3AAE9803">
      <w:pPr>
        <w:pBdr/>
        <w:spacing w:after="0" w:line="240" w:lineRule="auto"/>
        <w:ind/>
        <w:jc w:val="center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430304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81084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39789" cy="43030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0pt;height:338.8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 w14:paraId="6DEADDC9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Рисунок 2 – Результат выполнения команды mvn test (Maven)</w:t>
      </w:r>
      <w:r/>
    </w:p>
    <w:p w14:paraId="06564A86">
      <w:pPr>
        <w:pBdr/>
        <w:spacing w:after="0" w:line="240" w:lineRule="auto"/>
        <w:ind/>
        <w:jc w:val="center"/>
        <w:rPr/>
      </w:pPr>
      <w:r/>
      <w:r/>
      <w:r/>
    </w:p>
    <w:p w14:paraId="1FBEE27B">
      <w:pPr>
        <w:pBdr/>
        <w:spacing w:after="0" w:line="240" w:lineRule="auto"/>
        <w:ind/>
        <w:jc w:val="center"/>
        <w:rPr/>
      </w:pPr>
      <w:r/>
      <w:r/>
      <w:r/>
    </w:p>
    <w:p>
      <w:pPr>
        <w:pBdr/>
        <w:spacing w:after="0" w:line="240" w:lineRule="auto"/>
        <w:ind/>
        <w:jc w:val="center"/>
        <w:rPr/>
      </w:pPr>
      <w:r/>
      <w:r/>
    </w:p>
    <w:p w14:paraId="576CC890">
      <w:pPr>
        <w:pBdr/>
        <w:spacing w:after="0" w:line="240" w:lineRule="auto"/>
        <w:ind/>
        <w:jc w:val="center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62325" cy="10953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8173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362324" cy="1095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64.75pt;height:86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 w14:paraId="474F1DC8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Рисунок 3 – Результат выполнения команды ./gradlew test (Gradle)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 w14:paraId="3DFA721E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 w14:paraId="1399B0E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273826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63067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39789" cy="27382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0pt;height:215.6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Рисунок 4 – Результат выполнения команды ant test (Ant)</w:t>
      </w:r>
      <w:r/>
    </w:p>
    <w:p w14:paraId="6F15F77C">
      <w:pPr>
        <w:pBdr/>
        <w:spacing w:after="0" w:line="240" w:lineRule="auto"/>
        <w:ind/>
        <w:jc w:val="center"/>
        <w:rPr/>
      </w:pPr>
      <w:r/>
      <w:r/>
      <w:r/>
    </w:p>
    <w:p w14:paraId="37C487CF">
      <w:pPr>
        <w:pBdr/>
        <w:spacing w:after="0" w:line="24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  <w:t xml:space="preserve">Результаты выполнения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  <w:t xml:space="preserve">Maven lifecycle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  <w:t xml:space="preserve"> представлены на рисунке 5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  <w:t xml:space="preserve">-8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  <w:t xml:space="preserve">.</w:t>
      </w:r>
      <w:r/>
    </w:p>
    <w:p w14:paraId="43241A37">
      <w:pPr>
        <w:pBdr/>
        <w:spacing w:after="0" w:line="240" w:lineRule="auto"/>
        <w:ind w:right="0" w:firstLine="709" w:left="0"/>
        <w:jc w:val="both"/>
        <w:rPr/>
      </w:pPr>
      <w:r/>
      <w:r/>
      <w:r/>
    </w:p>
    <w:p w14:paraId="61FE9135">
      <w:pPr>
        <w:pBdr/>
        <w:spacing w:after="0" w:line="24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508876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06688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39789" cy="50887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0pt;height:400.6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 w14:paraId="28F49C0E">
      <w:pPr>
        <w:pBdr/>
        <w:spacing w:after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 w14:paraId="394DFA26">
      <w:pPr>
        <w:pBdr/>
        <w:spacing w:after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  <w:t xml:space="preserve">Рисунок 5 -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  <w:t xml:space="preserve">Результаты выполнения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  <w:t xml:space="preserve">Maven lifecycle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  <w:t xml:space="preserve">(mvn clean, mvn compile)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 w14:paraId="1300DFAC">
      <w:pPr>
        <w:pBdr/>
        <w:spacing w:after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 w14:paraId="4F678EA5">
      <w:pPr>
        <w:pBdr/>
        <w:spacing w:after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48943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75378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39789" cy="4894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0pt;height:385.3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 w14:paraId="7D1F6E37">
      <w:pPr>
        <w:pBdr/>
        <w:spacing w:after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 w14:paraId="66BC9C70">
      <w:pPr>
        <w:pBdr/>
        <w:spacing w:after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  <w:t xml:space="preserve">6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  <w:t xml:space="preserve"> -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  <w:t xml:space="preserve">Результаты выполнения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  <w:t xml:space="preserve">Maven lifecycle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  <w:t xml:space="preserve"> (mvn test)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 w14:paraId="6C3E894D">
      <w:pPr>
        <w:pBdr/>
        <w:spacing w:after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 w14:paraId="74B32252">
      <w:pPr>
        <w:pBdr/>
        <w:spacing w:after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489432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87225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39789" cy="4894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0pt;height:385.3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 w14:paraId="0E01FBD0">
      <w:pPr>
        <w:pBdr/>
        <w:spacing w:after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 w14:paraId="38D595CC">
      <w:pPr>
        <w:pBdr/>
        <w:spacing w:after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  <w:t xml:space="preserve">7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  <w:t xml:space="preserve"> -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  <w:t xml:space="preserve">Результаты выполнения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  <w:t xml:space="preserve">Maven lifecycle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  <w:t xml:space="preserve"> (mvn package)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 w14:paraId="0819BDB8">
      <w:pPr>
        <w:pBdr/>
        <w:spacing w:after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 w14:paraId="75D77D76">
      <w:pPr>
        <w:pBdr/>
        <w:spacing w:after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504920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94861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39789" cy="50492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0pt;height:397.5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 w14:paraId="48F0CEE1">
      <w:pPr>
        <w:pBdr/>
        <w:spacing w:after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 w14:paraId="03E013A3">
      <w:pPr>
        <w:pBdr/>
        <w:spacing w:after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  <w:t xml:space="preserve">8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  <w:t xml:space="preserve"> -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  <w:t xml:space="preserve">Результаты выполнения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  <w:t xml:space="preserve">Maven lifecycle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  <w:t xml:space="preserve"> (mvn verify)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>
      <w:pPr>
        <w:pBdr/>
        <w:spacing w:after="0" w:line="240" w:lineRule="auto"/>
        <w:ind/>
        <w:rPr/>
      </w:pPr>
      <w:r/>
      <w:r/>
    </w:p>
    <w:p>
      <w:pPr>
        <w:pStyle w:val="886"/>
        <w:pBdr/>
        <w:spacing w:after="0" w:line="240" w:lineRule="auto"/>
        <w:ind w:hanging="255" w:left="964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caps/>
          <w:color w:val="000000" w:themeColor="text1"/>
          <w:sz w:val="28"/>
          <w:szCs w:val="28"/>
          <w:lang w:val="en-US"/>
        </w:rPr>
        <w:t xml:space="preserve">5</w:t>
      </w:r>
      <w:r>
        <w:rPr>
          <w:rFonts w:ascii="Times New Roman" w:hAnsi="Times New Roman" w:eastAsia="Times New Roman" w:cs="Times New Roman"/>
          <w:b/>
          <w:bCs/>
          <w:caps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СРАВНЕНИЕ ANT, MAVEN И GRADLE</w:t>
      </w:r>
      <w:r/>
    </w:p>
    <w:p w14:paraId="1162058A">
      <w:pPr>
        <w:pStyle w:val="886"/>
        <w:pBdr/>
        <w:spacing w:after="0" w:line="240" w:lineRule="auto"/>
        <w:ind w:hanging="255" w:left="964"/>
        <w:rPr/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</w:r>
    </w:p>
    <w:p>
      <w:pPr>
        <w:pBdr/>
        <w:spacing w:after="0" w:line="24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Основные различия трёх систем сборки, выявленные в ходе выполнения работы, приведены в таблице 2.</w:t>
      </w:r>
      <w:r/>
    </w:p>
    <w:p>
      <w:pPr>
        <w:pBdr/>
        <w:spacing w:after="0" w:line="240" w:lineRule="auto"/>
        <w:ind/>
        <w:rPr/>
      </w:pPr>
      <w:r/>
      <w:r/>
    </w:p>
    <w:p>
      <w:pPr>
        <w:keepNext w:val="true"/>
        <w:pBdr/>
        <w:spacing w:after="120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Таблица 2 – Сравнение Apache Ant, Apache Maven и Gradle</w:t>
      </w:r>
      <w:r/>
    </w:p>
    <w:tbl>
      <w:tblPr>
        <w:tblW w:w="93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350"/>
        <w:gridCol w:w="2450"/>
        <w:gridCol w:w="2454"/>
      </w:tblGrid>
      <w:tr>
        <w:trPr>
          <w:cantSplit/>
          <w:tblHeader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 w:after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Критерий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50" w:type="dxa"/>
            <w:vAlign w:val="center"/>
          </w:tcPr>
          <w:p>
            <w:pPr>
              <w:pBdr/>
              <w:spacing w:after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Apache Ant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50" w:type="dxa"/>
            <w:vAlign w:val="center"/>
          </w:tcPr>
          <w:p>
            <w:pPr>
              <w:pBdr/>
              <w:spacing w:after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Apache Maven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54" w:type="dxa"/>
            <w:vAlign w:val="center"/>
          </w:tcPr>
          <w:p>
            <w:pPr>
              <w:pBdr/>
              <w:spacing w:after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Gradle</w:t>
            </w:r>
            <w:r/>
          </w:p>
        </w:tc>
      </w:tr>
      <w:tr>
        <w:trPr>
          <w:cantSplit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Модель описания сборки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50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Процедурная: набор целей и задач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50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Декларативная: описание проекта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54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Декларативная с возможностью программной логики</w:t>
            </w:r>
            <w:r/>
          </w:p>
        </w:tc>
      </w:tr>
      <w:tr>
        <w:trPr>
          <w:cantSplit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Файл сборки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50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build.xml (XML)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50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pom.xml (XML)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54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build.gradle (Groovy DSL)</w:t>
            </w:r>
            <w:r/>
          </w:p>
        </w:tc>
      </w:tr>
      <w:tr>
        <w:trPr>
          <w:cantSplit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Структура проекта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50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Любая, пути задаются вручную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50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Стандартная, по соглашениям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54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Стандартная, по соглашениям</w:t>
            </w:r>
            <w:r/>
          </w:p>
        </w:tc>
      </w:tr>
      <w:tr>
        <w:trPr>
          <w:cantSplit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Зависимости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50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Вручную: каталог lib и задача get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50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Автоматически из Maven Central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54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Автоматически из Maven Central</w:t>
            </w:r>
            <w:r/>
          </w:p>
        </w:tc>
      </w:tr>
      <w:tr>
        <w:trPr>
          <w:cantSplit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Жизненный цикл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50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Определяется разработчиком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50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Фиксированные фазы: compile, test, package, verify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54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Граф задач с зависимостями</w:t>
            </w:r>
            <w:r/>
          </w:p>
        </w:tc>
      </w:tr>
      <w:tr>
        <w:trPr>
          <w:cantSplit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Запуск JUnit 5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50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Задача junitlauncher и JUnit в каталоге lib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50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Плагин Surefire и зависимость junit-jupiter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54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useJUnitPlatform() в задаче test</w:t>
            </w:r>
            <w:r/>
          </w:p>
        </w:tc>
      </w:tr>
      <w:tr>
        <w:trPr>
          <w:cantSplit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Команда запуска тестов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50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ant test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50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mvn test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54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./gradlew test</w:t>
            </w:r>
            <w:r/>
          </w:p>
        </w:tc>
      </w:tr>
      <w:tr>
        <w:trPr>
          <w:cantSplit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Отчёты о тестах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50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Каталог build-ant/reports (XML и HTML)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50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Каталог target (surefire-reports, site)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54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Каталог build/reports/tests</w:t>
            </w:r>
            <w:r/>
          </w:p>
        </w:tc>
      </w:tr>
      <w:tr>
        <w:trPr>
          <w:cantSplit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Установка инструмента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50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Вручную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50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Вручную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54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Gradle Wrapper, версия 8.7 задана в проекте</w:t>
            </w:r>
            <w:r/>
          </w:p>
        </w:tc>
      </w:tr>
      <w:tr>
        <w:trPr>
          <w:cantSplit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Объём конфигурации в проекте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50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Наибольший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50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Средний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54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Наименьший</w:t>
            </w:r>
            <w:r/>
          </w:p>
        </w:tc>
      </w:tr>
      <w:tr>
        <w:trPr>
          <w:cantSplit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При падении теста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50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BUILD FAILED, ненулевой код возврата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50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BUILD FAILURE, ненулевой код возврата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54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BUILD FAILED, ненулевой код возврата</w:t>
            </w:r>
            <w:r/>
          </w:p>
        </w:tc>
      </w:tr>
    </w:tbl>
    <w:p w14:paraId="396CB94B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</w:p>
    <w:p w14:paraId="484E4A25">
      <w:pPr>
        <w:pBdr/>
        <w:spacing w:after="0" w:line="240" w:lineRule="auto"/>
        <w:ind w:right="0" w:firstLine="709" w:left="0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6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ВЫВОД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</w:rPr>
      </w:r>
    </w:p>
    <w:p w14:paraId="1C13569B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</w:p>
    <w:p w14:paraId="3C68DCB1" w14:textId="77777777">
      <w:pPr>
        <w:pBdr/>
        <w:spacing w:after="0" w:line="24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В ходе работы создан Java-проект bank-deposit с расчётом банковского вклада и модульными тестами JUnit 5 (17 запусков: позитивные, граничные и ошибочные сценарии). Сборка и запуск тестов настроены тремя способами: Apache Ant (процедурное описание, запуск JU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nit 5 через junitlauncher), Apache Maven (декларативное описание, плагин Surefire) и Gradle (краткая конфигурация, Gradle Wrapper). Сравнение показало, что Ant даёт максимальный контроль, но требует больше ручной настройки, а Maven и Gradle проще за счёт ав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томатической загрузки зависимостей и стандартной структуры проекта. Во всех трёх системах падение теста завершает сборку с ошибкой, что не позволяет выпустить релиз с дефектом и подтверждает роль автоматического тестирования в непрерывной интеграции.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</w:p>
    <w:sectPr>
      <w:footnotePr/>
      <w:endnotePr/>
      <w:type w:val="nextPage"/>
      <w:pgSz w:h="16838" w:orient="portrait" w:w="11906"/>
      <w:pgMar w:top="1134" w:right="851" w:bottom="1531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AC0CF80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6C234F56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Arial">
    <w:panose1 w:val="020B0604020202020204"/>
  </w:font>
  <w:font w:name="SimSun">
    <w:panose1 w:val="02000506000000020000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F5833EE" w14:textId="77777777">
      <w:pPr>
        <w:pBdr/>
        <w:spacing w:after="0"/>
        <w:ind/>
        <w:rPr/>
      </w:pPr>
      <w:r>
        <w:separator/>
      </w:r>
      <w:r/>
    </w:p>
  </w:footnote>
  <w:footnote w:type="continuationSeparator" w:id="0">
    <w:p w14:paraId="59F48F94" w14:textId="77777777">
      <w:pPr>
        <w:pBdr/>
        <w:spacing w:after="0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87167A"/>
    <w:lvl w:ilvl="0">
      <w:isLgl w:val="false"/>
      <w:lvlJc w:val="left"/>
      <w:lvlText w:val="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13F60057"/>
    <w:lvl w:ilvl="0">
      <w:isLgl w:val="false"/>
      <w:lvlJc w:val="left"/>
      <w:lvlText w:val="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47B530F3"/>
    <w:lvl w:ilvl="0">
      <w:isLgl w:val="false"/>
      <w:lvlJc w:val="left"/>
      <w:lvlText w:val="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51207DE6"/>
    <w:lvl w:ilvl="0">
      <w:isLgl w:val="false"/>
      <w:lvlJc w:val="left"/>
      <w:lvlText w:val="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5AE0077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710175EA"/>
    <w:lvl w:ilvl="0">
      <w:isLgl w:val="false"/>
      <w:lvlJc w:val="left"/>
      <w:lvlText w:val="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72DD678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5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40">
    <w:name w:val="Heading 1 Char"/>
    <w:basedOn w:val="896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96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96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96"/>
    <w:link w:val="8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96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96"/>
    <w:link w:val="8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96"/>
    <w:link w:val="89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96"/>
    <w:link w:val="8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96"/>
    <w:link w:val="8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Title Char"/>
    <w:basedOn w:val="896"/>
    <w:link w:val="9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Subtitle Char"/>
    <w:basedOn w:val="896"/>
    <w:link w:val="90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Quote Char"/>
    <w:basedOn w:val="896"/>
    <w:link w:val="91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9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53">
    <w:name w:val="Intense Quote Char"/>
    <w:basedOn w:val="896"/>
    <w:link w:val="91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9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5">
    <w:name w:val="No Spacing"/>
    <w:basedOn w:val="886"/>
    <w:uiPriority w:val="1"/>
    <w:qFormat/>
    <w:pPr>
      <w:pBdr/>
      <w:spacing w:after="0" w:line="240" w:lineRule="auto"/>
      <w:ind/>
    </w:pPr>
  </w:style>
  <w:style w:type="character" w:styleId="856">
    <w:name w:val="Subtle Emphasis"/>
    <w:basedOn w:val="89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9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9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9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9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9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9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9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9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9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9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 w:after="160" w:line="259" w:lineRule="auto"/>
      <w:ind/>
    </w:pPr>
    <w:rPr>
      <w:rFonts w:asciiTheme="minorHAnsi" w:hAnsiTheme="minorHAnsi" w:eastAsiaTheme="minorHAnsi" w:cstheme="minorBidi"/>
      <w:sz w:val="22"/>
      <w:szCs w:val="22"/>
      <w:lang w:val="ru-RU" w:eastAsia="en-US"/>
    </w:rPr>
  </w:style>
  <w:style w:type="paragraph" w:styleId="887">
    <w:name w:val="Heading 1"/>
    <w:basedOn w:val="886"/>
    <w:next w:val="886"/>
    <w:link w:val="90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88">
    <w:name w:val="Heading 2"/>
    <w:basedOn w:val="886"/>
    <w:next w:val="886"/>
    <w:link w:val="90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89">
    <w:name w:val="Heading 3"/>
    <w:basedOn w:val="886"/>
    <w:next w:val="886"/>
    <w:link w:val="90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90">
    <w:name w:val="Heading 4"/>
    <w:basedOn w:val="886"/>
    <w:next w:val="886"/>
    <w:link w:val="90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91">
    <w:name w:val="Heading 5"/>
    <w:basedOn w:val="886"/>
    <w:next w:val="886"/>
    <w:link w:val="90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92">
    <w:name w:val="Heading 6"/>
    <w:basedOn w:val="886"/>
    <w:next w:val="886"/>
    <w:link w:val="909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93">
    <w:name w:val="Heading 7"/>
    <w:basedOn w:val="886"/>
    <w:next w:val="886"/>
    <w:link w:val="910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94">
    <w:name w:val="Heading 8"/>
    <w:basedOn w:val="886"/>
    <w:next w:val="886"/>
    <w:link w:val="911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895">
    <w:name w:val="Heading 9"/>
    <w:basedOn w:val="886"/>
    <w:next w:val="886"/>
    <w:link w:val="912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62626" w:themeColor="text1" w:themeTint="D9"/>
    </w:rPr>
  </w:style>
  <w:style w:type="character" w:styleId="896" w:default="1">
    <w:name w:val="Default Paragraph Font"/>
    <w:uiPriority w:val="1"/>
    <w:semiHidden/>
    <w:unhideWhenUsed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character" w:styleId="899">
    <w:name w:val="HTML Code"/>
    <w:basedOn w:val="896"/>
    <w:uiPriority w:val="99"/>
    <w:semiHidden/>
    <w:unhideWhenUsed/>
    <w:pPr>
      <w:pBdr/>
      <w:spacing/>
      <w:ind/>
    </w:pPr>
    <w:rPr>
      <w:rFonts w:ascii="Courier New" w:hAnsi="Courier New" w:cs="Courier New"/>
      <w:sz w:val="20"/>
      <w:szCs w:val="20"/>
    </w:rPr>
  </w:style>
  <w:style w:type="paragraph" w:styleId="900">
    <w:name w:val="Title"/>
    <w:basedOn w:val="886"/>
    <w:next w:val="886"/>
    <w:link w:val="91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01">
    <w:name w:val="Normal (Web)"/>
    <w:basedOn w:val="886"/>
    <w:uiPriority w:val="99"/>
    <w:semiHidden/>
    <w:unhideWhenUsed/>
    <w:pPr>
      <w:pBdr/>
      <w:spacing/>
      <w:ind/>
    </w:pPr>
    <w:rPr>
      <w:sz w:val="24"/>
      <w:szCs w:val="24"/>
    </w:rPr>
  </w:style>
  <w:style w:type="paragraph" w:styleId="902">
    <w:name w:val="Subtitle"/>
    <w:basedOn w:val="886"/>
    <w:next w:val="886"/>
    <w:link w:val="914"/>
    <w:uiPriority w:val="11"/>
    <w:qFormat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903">
    <w:name w:val="Table Grid"/>
    <w:basedOn w:val="897"/>
    <w:uiPriority w:val="39"/>
    <w:pPr>
      <w:pBdr/>
      <w:spacing/>
      <w:ind/>
    </w:pPr>
    <w:rPr>
      <w:sz w:val="22"/>
      <w:szCs w:val="22"/>
      <w:lang w:val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04" w:customStyle="1">
    <w:name w:val="Заголовок 1 Знак"/>
    <w:basedOn w:val="896"/>
    <w:link w:val="88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05" w:customStyle="1">
    <w:name w:val="Заголовок 2 Знак"/>
    <w:basedOn w:val="896"/>
    <w:link w:val="88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06" w:customStyle="1">
    <w:name w:val="Заголовок 3 Знак"/>
    <w:basedOn w:val="896"/>
    <w:link w:val="88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07" w:customStyle="1">
    <w:name w:val="Заголовок 4 Знак"/>
    <w:basedOn w:val="896"/>
    <w:link w:val="89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08" w:customStyle="1">
    <w:name w:val="Заголовок 5 Знак"/>
    <w:basedOn w:val="896"/>
    <w:link w:val="89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09" w:customStyle="1">
    <w:name w:val="Заголовок 6 Знак"/>
    <w:basedOn w:val="896"/>
    <w:link w:val="89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10" w:customStyle="1">
    <w:name w:val="Заголовок 7 Знак"/>
    <w:basedOn w:val="896"/>
    <w:link w:val="89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11" w:customStyle="1">
    <w:name w:val="Заголовок 8 Знак"/>
    <w:basedOn w:val="896"/>
    <w:link w:val="894"/>
    <w:uiPriority w:val="9"/>
    <w:semiHidden/>
    <w:pPr>
      <w:pBdr/>
      <w:spacing/>
      <w:ind/>
    </w:pPr>
    <w:rPr>
      <w:rFonts w:eastAsiaTheme="majorEastAsia" w:cstheme="majorBidi"/>
      <w:i/>
      <w:iCs/>
      <w:color w:val="262626" w:themeColor="text1" w:themeTint="D9"/>
    </w:rPr>
  </w:style>
  <w:style w:type="character" w:styleId="912" w:customStyle="1">
    <w:name w:val="Заголовок 9 Знак"/>
    <w:basedOn w:val="896"/>
    <w:link w:val="895"/>
    <w:uiPriority w:val="9"/>
    <w:semiHidden/>
    <w:pPr>
      <w:pBdr/>
      <w:spacing/>
      <w:ind/>
    </w:pPr>
    <w:rPr>
      <w:rFonts w:eastAsiaTheme="majorEastAsia" w:cstheme="majorBidi"/>
      <w:color w:val="262626" w:themeColor="text1" w:themeTint="D9"/>
    </w:rPr>
  </w:style>
  <w:style w:type="character" w:styleId="913" w:customStyle="1">
    <w:name w:val="Заголовок Знак"/>
    <w:basedOn w:val="896"/>
    <w:link w:val="90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14" w:customStyle="1">
    <w:name w:val="Подзаголовок Знак"/>
    <w:basedOn w:val="896"/>
    <w:link w:val="90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15">
    <w:name w:val="Quote"/>
    <w:basedOn w:val="886"/>
    <w:next w:val="886"/>
    <w:link w:val="91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6" w:customStyle="1">
    <w:name w:val="Цитата 2 Знак"/>
    <w:basedOn w:val="896"/>
    <w:link w:val="91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17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918" w:customStyle="1">
    <w:name w:val="Сильное выделение1"/>
    <w:basedOn w:val="89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9">
    <w:name w:val="Intense Quote"/>
    <w:basedOn w:val="886"/>
    <w:next w:val="886"/>
    <w:link w:val="92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0" w:customStyle="1">
    <w:name w:val="Выделенная цитата Знак"/>
    <w:basedOn w:val="896"/>
    <w:link w:val="91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1" w:customStyle="1">
    <w:name w:val="Сильная ссылка1"/>
    <w:basedOn w:val="89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modified xsi:type="dcterms:W3CDTF">2026-09-29T21:21:38Z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