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rebuchet MS" w:hAnsi="Trebuchet MS"/>
          <w:b/>
          <w:color w:val="0F172A"/>
          <w:sz w:val="48"/>
        </w:rPr>
        <w:t>IMPLEMENTATION GUIDE: HEXA FORCE LAB</w:t>
      </w:r>
    </w:p>
    <w:p>
      <w:pPr>
        <w:spacing w:after="480"/>
      </w:pPr>
      <w:r>
        <w:rPr>
          <w:rFonts w:ascii="Calibri" w:hAnsi="Calibri"/>
          <w:i/>
          <w:color w:val="0E7490"/>
          <w:sz w:val="26"/>
        </w:rPr>
        <w:t>A 4-Stage Container Security Attack, Detection, and Defense Laboratory for DevSecOps Pipelines</w:t>
      </w:r>
    </w:p>
    <w:p>
      <w:pPr>
        <w:spacing w:after="400"/>
        <w:pBdr>
          <w:bottom w:val="single" w:sz="12" w:space="1" w:color="0E7490"/>
        </w:pBdr>
      </w:pPr>
    </w:p>
    <w:p>
      <w:pPr>
        <w:keepNext/>
        <w:spacing w:before="360" w:after="120"/>
        <w:pBdr>
          <w:left w:val="single" w:sz="24" w:space="8" w:color="0E7490"/>
        </w:pBdr>
      </w:pPr>
      <w:r>
        <w:rPr>
          <w:rFonts w:ascii="Trebuchet MS" w:hAnsi="Trebuchet MS"/>
          <w:b/>
          <w:color w:val="0F172A"/>
          <w:sz w:val="32"/>
        </w:rPr>
        <w:t>1. Laboratory Overview &amp; Architecture</w:t>
      </w:r>
    </w:p>
    <w:p>
      <w:r>
        <w:t>In modern DevSecOps deployment structures, container workloads frequently share a singular base kernel infrastructure. If container controls are weakly configured, a local vulnerability can expand into a total host infrastructure compromise. This Hexa Force Laboratory demonstrates the four primary dimensions of container security isolation: Kernel separation, Namespace boundaries, Daemon interface control, and Volume access rules.</w:t>
      </w:r>
    </w:p>
    <w:p>
      <w:r>
        <w:t>The laboratory provides interactive exploitation, detection system triggers, and mitigation automation to show how a pipeline secures itself at runtime. The workflow builds a single test image and executes the four stages sequentially, checking if defensive measures successfully prevent escape vectors.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E7490"/>
            <w:tcMar>
              <w:top w:w="120" w:type="dxa"/>
              <w:bottom w:w="120" w:type="dxa"/>
              <w:left w:w="100" w:type="dxa"/>
              <w:right w:w="100" w:type="dxa"/>
            </w:tcMar>
          </w:tcPr>
          <w:p>
            <w:r>
              <w:rPr>
                <w:rFonts w:ascii="Trebuchet MS" w:hAnsi="Trebuchet MS"/>
                <w:b/>
                <w:color w:val="FFFFFF"/>
                <w:sz w:val="19"/>
              </w:rPr>
              <w:t>SECURITY PILLAR</w:t>
            </w:r>
          </w:p>
        </w:tc>
        <w:tc>
          <w:tcPr>
            <w:tcW w:type="dxa" w:w="2592"/>
            <w:shd w:fill="0E7490"/>
            <w:tcMar>
              <w:top w:w="120" w:type="dxa"/>
              <w:bottom w:w="120" w:type="dxa"/>
              <w:left w:w="100" w:type="dxa"/>
              <w:right w:w="100" w:type="dxa"/>
            </w:tcMar>
          </w:tcPr>
          <w:p>
            <w:r>
              <w:rPr>
                <w:rFonts w:ascii="Trebuchet MS" w:hAnsi="Trebuchet MS"/>
                <w:b/>
                <w:color w:val="FFFFFF"/>
                <w:sz w:val="19"/>
              </w:rPr>
              <w:t>STAGE FOCUS</w:t>
            </w:r>
          </w:p>
        </w:tc>
        <w:tc>
          <w:tcPr>
            <w:tcW w:type="dxa" w:w="2592"/>
            <w:shd w:fill="0E7490"/>
            <w:tcMar>
              <w:top w:w="120" w:type="dxa"/>
              <w:bottom w:w="120" w:type="dxa"/>
              <w:left w:w="100" w:type="dxa"/>
              <w:right w:w="100" w:type="dxa"/>
            </w:tcMar>
          </w:tcPr>
          <w:p>
            <w:r>
              <w:rPr>
                <w:rFonts w:ascii="Trebuchet MS" w:hAnsi="Trebuchet MS"/>
                <w:b/>
                <w:color w:val="FFFFFF"/>
                <w:sz w:val="19"/>
              </w:rPr>
              <w:t>EXPLOIT SIMULATION</w:t>
            </w:r>
          </w:p>
        </w:tc>
        <w:tc>
          <w:tcPr>
            <w:tcW w:type="dxa" w:w="2448"/>
            <w:shd w:fill="0E7490"/>
            <w:tcMar>
              <w:top w:w="120" w:type="dxa"/>
              <w:bottom w:w="120" w:type="dxa"/>
              <w:left w:w="100" w:type="dxa"/>
              <w:right w:w="100" w:type="dxa"/>
            </w:tcMar>
          </w:tcPr>
          <w:p>
            <w:r>
              <w:rPr>
                <w:rFonts w:ascii="Trebuchet MS" w:hAnsi="Trebuchet MS"/>
                <w:b/>
                <w:color w:val="FFFFFF"/>
                <w:sz w:val="19"/>
              </w:rPr>
              <w:t>DEFENSIVE KERNEL CONTROL</w:t>
            </w:r>
          </w:p>
        </w:tc>
      </w:tr>
      <w:tr>
        <w:tc>
          <w:tcPr>
            <w:tcW w:type="dxa" w:w="1728"/>
            <w:shd w:fill="F8FAFC"/>
            <w:tcMar>
              <w:top w:w="80" w:type="dxa"/>
              <w:bottom w:w="80" w:type="dxa"/>
              <w:left w:w="100" w:type="dxa"/>
              <w:right w:w="100" w:type="dxa"/>
            </w:tcMar>
          </w:tcPr>
          <w:p>
            <w:pPr>
              <w:spacing w:after="40"/>
            </w:pPr>
            <w:r>
              <w:rPr>
                <w:rFonts w:ascii="Calibri" w:hAnsi="Calibri"/>
                <w:b/>
                <w:color w:val="0E7490"/>
                <w:sz w:val="19"/>
              </w:rPr>
              <w:t>Host Kernel Isolation</w:t>
            </w:r>
          </w:p>
        </w:tc>
        <w:tc>
          <w:tcPr>
            <w:tcW w:type="dxa" w:w="2592"/>
            <w:shd w:fill="F8FAFC"/>
            <w:tcMar>
              <w:top w:w="80" w:type="dxa"/>
              <w:bottom w:w="80" w:type="dxa"/>
              <w:left w:w="100" w:type="dxa"/>
              <w:right w:w="100" w:type="dxa"/>
            </w:tcMar>
          </w:tcPr>
          <w:p>
            <w:pPr>
              <w:spacing w:after="40"/>
            </w:pPr>
            <w:r>
              <w:rPr>
                <w:rFonts w:ascii="Calibri" w:hAnsi="Calibri"/>
                <w:sz w:val="19"/>
              </w:rPr>
              <w:t>Dirty COW (CVE-2016-5195) Race Condition</w:t>
            </w:r>
          </w:p>
        </w:tc>
        <w:tc>
          <w:tcPr>
            <w:tcW w:type="dxa" w:w="2592"/>
            <w:shd w:fill="F8FAFC"/>
            <w:tcMar>
              <w:top w:w="80" w:type="dxa"/>
              <w:bottom w:w="80" w:type="dxa"/>
              <w:left w:w="100" w:type="dxa"/>
              <w:right w:w="100" w:type="dxa"/>
            </w:tcMar>
          </w:tcPr>
          <w:p>
            <w:pPr>
              <w:spacing w:after="40"/>
            </w:pPr>
            <w:r>
              <w:rPr>
                <w:rFonts w:ascii="Calibri" w:hAnsi="Calibri"/>
                <w:sz w:val="19"/>
              </w:rPr>
              <w:t>Write race threads targeting a read-only root file</w:t>
            </w:r>
          </w:p>
        </w:tc>
        <w:tc>
          <w:tcPr>
            <w:tcW w:type="dxa" w:w="2448"/>
            <w:shd w:fill="F8FAFC"/>
            <w:tcMar>
              <w:top w:w="80" w:type="dxa"/>
              <w:bottom w:w="80" w:type="dxa"/>
              <w:left w:w="100" w:type="dxa"/>
              <w:right w:w="100" w:type="dxa"/>
            </w:tcMar>
          </w:tcPr>
          <w:p>
            <w:pPr>
              <w:spacing w:after="40"/>
            </w:pPr>
            <w:r>
              <w:rPr>
                <w:rFonts w:ascii="Calibri" w:hAnsi="Calibri"/>
                <w:sz w:val="19"/>
              </w:rPr>
              <w:t>Upgraded host kernels &amp; Sandboxing runtimes (gVisor)</w:t>
            </w:r>
          </w:p>
        </w:tc>
      </w:tr>
      <w:tr>
        <w:tc>
          <w:tcPr>
            <w:tcW w:type="dxa" w:w="1728"/>
            <w:shd w:fill="FFFFFF"/>
            <w:tcMar>
              <w:top w:w="80" w:type="dxa"/>
              <w:bottom w:w="80" w:type="dxa"/>
              <w:left w:w="100" w:type="dxa"/>
              <w:right w:w="100" w:type="dxa"/>
            </w:tcMar>
          </w:tcPr>
          <w:p>
            <w:pPr>
              <w:spacing w:after="40"/>
            </w:pPr>
            <w:r>
              <w:rPr>
                <w:rFonts w:ascii="Calibri" w:hAnsi="Calibri"/>
                <w:b/>
                <w:color w:val="0E7490"/>
                <w:sz w:val="19"/>
              </w:rPr>
              <w:t>Process Boundaries</w:t>
            </w:r>
          </w:p>
        </w:tc>
        <w:tc>
          <w:tcPr>
            <w:tcW w:type="dxa" w:w="2592"/>
            <w:shd w:fill="FFFFFF"/>
            <w:tcMar>
              <w:top w:w="80" w:type="dxa"/>
              <w:bottom w:w="80" w:type="dxa"/>
              <w:left w:w="100" w:type="dxa"/>
              <w:right w:w="100" w:type="dxa"/>
            </w:tcMar>
          </w:tcPr>
          <w:p>
            <w:pPr>
              <w:spacing w:after="40"/>
            </w:pPr>
            <w:r>
              <w:rPr>
                <w:rFonts w:ascii="Calibri" w:hAnsi="Calibri"/>
                <w:sz w:val="19"/>
              </w:rPr>
              <w:t>PID Namespace &amp; Capability Sets</w:t>
            </w:r>
          </w:p>
        </w:tc>
        <w:tc>
          <w:tcPr>
            <w:tcW w:type="dxa" w:w="2592"/>
            <w:shd w:fill="FFFFFF"/>
            <w:tcMar>
              <w:top w:w="80" w:type="dxa"/>
              <w:bottom w:w="80" w:type="dxa"/>
              <w:left w:w="100" w:type="dxa"/>
              <w:right w:w="100" w:type="dxa"/>
            </w:tcMar>
          </w:tcPr>
          <w:p>
            <w:pPr>
              <w:spacing w:after="40"/>
            </w:pPr>
            <w:r>
              <w:rPr>
                <w:rFonts w:ascii="Calibri" w:hAnsi="Calibri"/>
                <w:sz w:val="19"/>
              </w:rPr>
              <w:t>Abusing CAP_SYS_PTRACE capabilities &amp; Host PID sharing</w:t>
            </w:r>
          </w:p>
        </w:tc>
        <w:tc>
          <w:tcPr>
            <w:tcW w:type="dxa" w:w="2448"/>
            <w:shd w:fill="FFFFFF"/>
            <w:tcMar>
              <w:top w:w="80" w:type="dxa"/>
              <w:bottom w:w="80" w:type="dxa"/>
              <w:left w:w="100" w:type="dxa"/>
              <w:right w:w="100" w:type="dxa"/>
            </w:tcMar>
          </w:tcPr>
          <w:p>
            <w:pPr>
              <w:spacing w:after="40"/>
            </w:pPr>
            <w:r>
              <w:rPr>
                <w:rFonts w:ascii="Calibri" w:hAnsi="Calibri"/>
                <w:sz w:val="19"/>
              </w:rPr>
              <w:t>Dropping default permissions &amp; Dropping CAP_SYS_PTRACE</w:t>
            </w:r>
          </w:p>
        </w:tc>
      </w:tr>
      <w:tr>
        <w:tc>
          <w:tcPr>
            <w:tcW w:type="dxa" w:w="1728"/>
            <w:shd w:fill="F8FAFC"/>
            <w:tcMar>
              <w:top w:w="80" w:type="dxa"/>
              <w:bottom w:w="80" w:type="dxa"/>
              <w:left w:w="100" w:type="dxa"/>
              <w:right w:w="100" w:type="dxa"/>
            </w:tcMar>
          </w:tcPr>
          <w:p>
            <w:pPr>
              <w:spacing w:after="40"/>
            </w:pPr>
            <w:r>
              <w:rPr>
                <w:rFonts w:ascii="Calibri" w:hAnsi="Calibri"/>
                <w:b/>
                <w:color w:val="0E7490"/>
                <w:sz w:val="19"/>
              </w:rPr>
              <w:t>Daemon &amp; API Security</w:t>
            </w:r>
          </w:p>
        </w:tc>
        <w:tc>
          <w:tcPr>
            <w:tcW w:type="dxa" w:w="2592"/>
            <w:shd w:fill="F8FAFC"/>
            <w:tcMar>
              <w:top w:w="80" w:type="dxa"/>
              <w:bottom w:w="80" w:type="dxa"/>
              <w:left w:w="100" w:type="dxa"/>
              <w:right w:w="100" w:type="dxa"/>
            </w:tcMar>
          </w:tcPr>
          <w:p>
            <w:pPr>
              <w:spacing w:after="40"/>
            </w:pPr>
            <w:r>
              <w:rPr>
                <w:rFonts w:ascii="Calibri" w:hAnsi="Calibri"/>
                <w:sz w:val="19"/>
              </w:rPr>
              <w:t>Exposed docker.sock UNIX socket</w:t>
            </w:r>
          </w:p>
        </w:tc>
        <w:tc>
          <w:tcPr>
            <w:tcW w:type="dxa" w:w="2592"/>
            <w:shd w:fill="F8FAFC"/>
            <w:tcMar>
              <w:top w:w="80" w:type="dxa"/>
              <w:bottom w:w="80" w:type="dxa"/>
              <w:left w:w="100" w:type="dxa"/>
              <w:right w:w="100" w:type="dxa"/>
            </w:tcMar>
          </w:tcPr>
          <w:p>
            <w:pPr>
              <w:spacing w:after="40"/>
            </w:pPr>
            <w:r>
              <w:rPr>
                <w:rFonts w:ascii="Calibri" w:hAnsi="Calibri"/>
                <w:sz w:val="19"/>
              </w:rPr>
              <w:t>HTTP POST to control socket &amp; Spawn privilege containers</w:t>
            </w:r>
          </w:p>
        </w:tc>
        <w:tc>
          <w:tcPr>
            <w:tcW w:type="dxa" w:w="2448"/>
            <w:shd w:fill="F8FAFC"/>
            <w:tcMar>
              <w:top w:w="80" w:type="dxa"/>
              <w:bottom w:w="80" w:type="dxa"/>
              <w:left w:w="100" w:type="dxa"/>
              <w:right w:w="100" w:type="dxa"/>
            </w:tcMar>
          </w:tcPr>
          <w:p>
            <w:pPr>
              <w:spacing w:after="40"/>
            </w:pPr>
            <w:r>
              <w:rPr>
                <w:rFonts w:ascii="Calibri" w:hAnsi="Calibri"/>
                <w:sz w:val="19"/>
              </w:rPr>
              <w:t>Disabling daemon mounts &amp; rootless runtime engines</w:t>
            </w:r>
          </w:p>
        </w:tc>
      </w:tr>
      <w:tr>
        <w:tc>
          <w:tcPr>
            <w:tcW w:type="dxa" w:w="1728"/>
            <w:shd w:fill="FFFFFF"/>
            <w:tcMar>
              <w:top w:w="80" w:type="dxa"/>
              <w:bottom w:w="80" w:type="dxa"/>
              <w:left w:w="100" w:type="dxa"/>
              <w:right w:w="100" w:type="dxa"/>
            </w:tcMar>
          </w:tcPr>
          <w:p>
            <w:pPr>
              <w:spacing w:after="40"/>
            </w:pPr>
            <w:r>
              <w:rPr>
                <w:rFonts w:ascii="Calibri" w:hAnsi="Calibri"/>
                <w:b/>
                <w:color w:val="0E7490"/>
                <w:sz w:val="19"/>
              </w:rPr>
              <w:t>Volume Security</w:t>
            </w:r>
          </w:p>
        </w:tc>
        <w:tc>
          <w:tcPr>
            <w:tcW w:type="dxa" w:w="2592"/>
            <w:shd w:fill="FFFFFF"/>
            <w:tcMar>
              <w:top w:w="80" w:type="dxa"/>
              <w:bottom w:w="80" w:type="dxa"/>
              <w:left w:w="100" w:type="dxa"/>
              <w:right w:w="100" w:type="dxa"/>
            </w:tcMar>
          </w:tcPr>
          <w:p>
            <w:pPr>
              <w:spacing w:after="40"/>
            </w:pPr>
            <w:r>
              <w:rPr>
                <w:rFonts w:ascii="Calibri" w:hAnsi="Calibri"/>
                <w:sz w:val="19"/>
              </w:rPr>
              <w:t>Writable Path Traversal Mount</w:t>
            </w:r>
          </w:p>
        </w:tc>
        <w:tc>
          <w:tcPr>
            <w:tcW w:type="dxa" w:w="2592"/>
            <w:shd w:fill="FFFFFF"/>
            <w:tcMar>
              <w:top w:w="80" w:type="dxa"/>
              <w:bottom w:w="80" w:type="dxa"/>
              <w:left w:w="100" w:type="dxa"/>
              <w:right w:w="100" w:type="dxa"/>
            </w:tcMar>
          </w:tcPr>
          <w:p>
            <w:pPr>
              <w:spacing w:after="40"/>
            </w:pPr>
            <w:r>
              <w:rPr>
                <w:rFonts w:ascii="Calibri" w:hAnsi="Calibri"/>
                <w:sz w:val="19"/>
              </w:rPr>
              <w:t>Host Cron directory traversal write injection</w:t>
            </w:r>
          </w:p>
        </w:tc>
        <w:tc>
          <w:tcPr>
            <w:tcW w:type="dxa" w:w="2448"/>
            <w:shd w:fill="FFFFFF"/>
            <w:tcMar>
              <w:top w:w="80" w:type="dxa"/>
              <w:bottom w:w="80" w:type="dxa"/>
              <w:left w:w="100" w:type="dxa"/>
              <w:right w:w="100" w:type="dxa"/>
            </w:tcMar>
          </w:tcPr>
          <w:p>
            <w:pPr>
              <w:spacing w:after="40"/>
            </w:pPr>
            <w:r>
              <w:rPr>
                <w:rFonts w:ascii="Calibri" w:hAnsi="Calibri"/>
                <w:sz w:val="19"/>
              </w:rPr>
              <w:t>Mounting host volumes as read-only (:ro) configurations</w:t>
            </w:r>
          </w:p>
        </w:tc>
      </w:tr>
    </w:tbl>
    <w:p>
      <w:pPr>
        <w:spacing w:after="240"/>
      </w:pPr>
    </w:p>
    <w:p>
      <w:pPr>
        <w:keepNext/>
        <w:spacing w:before="360" w:after="120"/>
        <w:pBdr>
          <w:left w:val="single" w:sz="24" w:space="8" w:color="0E7490"/>
        </w:pBdr>
      </w:pPr>
      <w:r>
        <w:rPr>
          <w:rFonts w:ascii="Trebuchet MS" w:hAnsi="Trebuchet MS"/>
          <w:b/>
          <w:color w:val="0F172A"/>
          <w:sz w:val="32"/>
        </w:rPr>
        <w:t>2. Modular Technical Breakdowns</w:t>
      </w:r>
    </w:p>
    <w:p>
      <w:pPr>
        <w:keepNext/>
        <w:spacing w:before="240" w:after="80"/>
      </w:pPr>
      <w:r>
        <w:rPr>
          <w:rFonts w:ascii="Trebuchet MS" w:hAnsi="Trebuchet MS"/>
          <w:b/>
          <w:color w:val="0E7490"/>
          <w:sz w:val="24"/>
        </w:rPr>
        <w:t>Stage 1: Host Kernel Isolation (Dirty COW - CVE-2016-5195)</w:t>
      </w:r>
    </w:p>
    <w:p>
      <w:r>
        <w:t xml:space="preserve">Kernel-level sharing is the core efficiency of container structures. In this stage, an unprivileged user process inside the container runs threads competing to exploit the Dirty COW race condition. One thread calls </w:t>
      </w:r>
      <w:r>
        <w:rPr>
          <w:b/>
        </w:rPr>
        <w:t>madvise(..., MADV_DONTNEED)</w:t>
      </w:r>
      <w:r>
        <w:t xml:space="preserve"> on a privately mapped read-only file, while another concurrently writes to </w:t>
      </w:r>
      <w:r>
        <w:rPr>
          <w:b/>
        </w:rPr>
        <w:t>/proc/self/mem</w:t>
      </w:r>
      <w:r>
        <w:t>. This race exploits a non-atomic copy-on-write page fault lookup sequence to corrupt the read-only file in the shared page cache.</w:t>
      </w:r>
    </w:p>
    <w:tbl>
      <w:tblPr>
        <w:tblW w:type="auto" w:w="0"/>
        <w:jc w:val="center"/>
        <w:tblLayout w:type="fixed"/>
        <w:tblLook w:firstColumn="1" w:firstRow="1" w:lastColumn="0" w:lastRow="0" w:noHBand="0" w:noVBand="1" w:val="04A0"/>
      </w:tblPr>
      <w:tblGrid>
        <w:gridCol w:w="9360"/>
      </w:tblGrid>
      <w:tr>
        <w:tc>
          <w:tcPr>
            <w:tcW w:type="dxa" w:w="9360"/>
            <w:shd w:fill="F0F9FF"/>
            <w:tcBorders>
              <w:left w:val="single" w:sz="24" w:space="0" w:color="0E7490"/>
              <w:top w:val="none"/>
              <w:bottom w:val="none"/>
              <w:right w:val="none"/>
            </w:tcBorders>
            <w:tcMar>
              <w:top w:w="100" w:type="dxa"/>
              <w:bottom w:w="100" w:type="dxa"/>
              <w:left w:w="150" w:type="dxa"/>
              <w:right w:w="150" w:type="dxa"/>
            </w:tcMar>
          </w:tcPr>
          <w:p>
            <w:pPr>
              <w:spacing w:after="80"/>
            </w:pPr>
            <w:r>
              <w:rPr>
                <w:rFonts w:ascii="Calibri" w:hAnsi="Calibri"/>
                <w:b/>
                <w:color w:val="0E7490"/>
                <w:sz w:val="22"/>
              </w:rPr>
              <w:t xml:space="preserve">ℹ️ EXPLOIT NOTE: </w:t>
            </w:r>
            <w:r>
              <w:rPr>
                <w:rFonts w:ascii="Calibri" w:hAnsi="Calibri"/>
                <w:color w:val="1E293B"/>
                <w:sz w:val="22"/>
              </w:rPr>
              <w:t>Under modern patched host kernels (such as the standard GitHub Actions host runners), this exploit is automatically serialization-blocked. The page tables serialize the writes safely, preserving target integrity.</w:t>
            </w:r>
          </w:p>
        </w:tc>
      </w:tr>
    </w:tbl>
    <w:p>
      <w:pPr>
        <w:spacing w:after="80"/>
      </w:pPr>
    </w:p>
    <w:p>
      <w:pPr>
        <w:keepNext/>
        <w:spacing w:before="240" w:after="80"/>
      </w:pPr>
      <w:r>
        <w:rPr>
          <w:rFonts w:ascii="Trebuchet MS" w:hAnsi="Trebuchet MS"/>
          <w:b/>
          <w:color w:val="0E7490"/>
          <w:sz w:val="24"/>
        </w:rPr>
        <w:t>Stage 2: Process &amp; Capabilities Isolation (CAP_SYS_PTRACE)</w:t>
      </w:r>
    </w:p>
    <w:p>
      <w:r>
        <w:t>This stage evaluates boundary enforcement at the process level. If host process sharing is enabled (</w:t>
      </w:r>
      <w:r>
        <w:rPr>
          <w:b/>
        </w:rPr>
        <w:t>--pid=host</w:t>
      </w:r>
      <w:r>
        <w:t>) and combined with over-privileged process debugging capabilities (</w:t>
      </w:r>
      <w:r>
        <w:rPr>
          <w:b/>
        </w:rPr>
        <w:t>CAP_SYS_PTRACE</w:t>
      </w:r>
      <w:r>
        <w:t>), the container process can attach to and inject shellcode into host-level services, escaping the sandbox.</w:t>
      </w:r>
    </w:p>
    <w:p>
      <w:r>
        <w:t xml:space="preserve">The pipeline actively runs process namespace isolation diagnostics using </w:t>
      </w:r>
      <w:r>
        <w:rPr>
          <w:b/>
        </w:rPr>
        <w:t>capsh --print</w:t>
      </w:r>
      <w:r>
        <w:t xml:space="preserve"> and evaluating active namespace process PID counts. If the process PID counts are low, process boundary isolation is verified as active.</w:t>
      </w:r>
    </w:p>
    <w:p>
      <w:pPr>
        <w:keepNext/>
        <w:spacing w:before="240" w:after="80"/>
      </w:pPr>
      <w:r>
        <w:rPr>
          <w:rFonts w:ascii="Trebuchet MS" w:hAnsi="Trebuchet MS"/>
          <w:b/>
          <w:color w:val="0E7490"/>
          <w:sz w:val="24"/>
        </w:rPr>
        <w:t>Stage 3: Daemon &amp; API Security (Exposed docker.sock)</w:t>
      </w:r>
    </w:p>
    <w:p>
      <w:r>
        <w:t>The Docker daemon socket (</w:t>
      </w:r>
      <w:r>
        <w:rPr>
          <w:b/>
        </w:rPr>
        <w:t>/var/run/docker.sock</w:t>
      </w:r>
      <w:r>
        <w:t>) handles API requests as root. Mounting this socket inside containers is highly dangerous, as it grants full control over the engine. In this stage, the orchestrator detects the socket interface and models how a compromised user executes curl commands to trigger high-privilege sibling containers containing host root mounts.</w:t>
      </w:r>
    </w:p>
    <w:p>
      <w:r>
        <w:t>The script successfully identifies the exposed socket interface and demonstrates the exact HTTP API payload signature required to execute the breakout, outlining why socket exposure is equivalent to giving root host permissions.</w:t>
      </w:r>
    </w:p>
    <w:p>
      <w:pPr>
        <w:keepNext/>
        <w:spacing w:before="240" w:after="80"/>
      </w:pPr>
      <w:r>
        <w:rPr>
          <w:rFonts w:ascii="Trebuchet MS" w:hAnsi="Trebuchet MS"/>
          <w:b/>
          <w:color w:val="0E7490"/>
          <w:sz w:val="24"/>
        </w:rPr>
        <w:t>Stage 4: Volume &amp; Filesystem Security (Path Traversal)</w:t>
      </w:r>
    </w:p>
    <w:p>
      <w:r>
        <w:t xml:space="preserve">Mounting sensitive host directories gives containers local system access. Stage 4 checks whether critical directories (simulated via </w:t>
      </w:r>
      <w:r>
        <w:rPr>
          <w:b/>
        </w:rPr>
        <w:t>/mnt/host/etc/cron.d</w:t>
      </w:r>
      <w:r>
        <w:t>) are writable by the unprivileged container user. A breakout attempt is simulated by attempting a cron-job script injection.</w:t>
      </w:r>
    </w:p>
    <w:p>
      <w:r>
        <w:t xml:space="preserve">In our secured environment, the directory is protected and owned by root. The script safely catches the </w:t>
      </w:r>
      <w:r>
        <w:rPr>
          <w:b/>
        </w:rPr>
        <w:t>Permission Denied</w:t>
      </w:r>
      <w:r>
        <w:t xml:space="preserve"> output, logs the event, and prints a success notification indicating that the read-only file permissions correctly stopped the injection vector.</w:t>
      </w:r>
    </w:p>
    <w:p>
      <w:pPr>
        <w:keepNext/>
        <w:spacing w:before="360" w:after="120"/>
        <w:pBdr>
          <w:left w:val="single" w:sz="24" w:space="8" w:color="0E7490"/>
        </w:pBdr>
      </w:pPr>
      <w:r>
        <w:rPr>
          <w:rFonts w:ascii="Trebuchet MS" w:hAnsi="Trebuchet MS"/>
          <w:b/>
          <w:color w:val="0F172A"/>
          <w:sz w:val="32"/>
        </w:rPr>
        <w:t>3. Supply Chain Integrity &amp; Cryptographic Signing</w:t>
      </w:r>
    </w:p>
    <w:p>
      <w:r>
        <w:t xml:space="preserve">A critical aspect of the Hexa Force infrastructure is supply chain verification. To guarantee that only untampered, verified images are running in our production environments, the pipeline implements </w:t>
      </w:r>
      <w:r>
        <w:rPr>
          <w:b/>
        </w:rPr>
        <w:t>Cryptographic Container Signing</w:t>
      </w:r>
      <w:r>
        <w:t xml:space="preserve"> using the standard </w:t>
      </w:r>
      <w:r>
        <w:rPr>
          <w:b/>
        </w:rPr>
        <w:t>Cosign</w:t>
      </w:r>
      <w:r>
        <w:t xml:space="preserve"> tool from the Sigstore project.</w:t>
      </w:r>
    </w:p>
    <w:p>
      <w:r>
        <w:t xml:space="preserve">Rather than relying on fragile private keys stored in GitHub Secrets, we employ </w:t>
      </w:r>
      <w:r>
        <w:rPr>
          <w:b/>
        </w:rPr>
        <w:t>Keyless OIDC (OpenID Connect) Signing</w:t>
      </w:r>
      <w:r>
        <w:t>. GitHub Actions acts as an OIDC Identity Provider to issue a temporary JSON Web Token (JWT) containing cryptographic proof of the repository, workflow, commit SHA, and runner context. Sigstore's Certificate Authority (</w:t>
      </w:r>
      <w:r>
        <w:rPr>
          <w:b/>
        </w:rPr>
        <w:t>Fulcio</w:t>
      </w:r>
      <w:r>
        <w:t>) validates this token and issues a short-lived 10-minute certificate. The runner uses this certificate to sign the container image digest inside the registry, completely bypassing traditional key leakage and rotation risks.</w:t>
      </w:r>
    </w:p>
    <w:tbl>
      <w:tblPr>
        <w:tblW w:type="auto" w:w="0"/>
        <w:jc w:val="center"/>
        <w:tblLayout w:type="fixed"/>
        <w:tblLook w:firstColumn="1" w:firstRow="1" w:lastColumn="0" w:lastRow="0" w:noHBand="0" w:noVBand="1" w:val="04A0"/>
      </w:tblPr>
      <w:tblGrid>
        <w:gridCol w:w="9360"/>
      </w:tblGrid>
      <w:tr>
        <w:tc>
          <w:tcPr>
            <w:tcW w:type="dxa" w:w="9360"/>
            <w:shd w:fill="F0F9FF"/>
            <w:tcBorders>
              <w:left w:val="single" w:sz="24" w:space="0" w:color="0E7490"/>
              <w:top w:val="none"/>
              <w:bottom w:val="none"/>
              <w:right w:val="none"/>
            </w:tcBorders>
            <w:tcMar>
              <w:top w:w="100" w:type="dxa"/>
              <w:bottom w:w="100" w:type="dxa"/>
              <w:left w:w="150" w:type="dxa"/>
              <w:right w:w="150" w:type="dxa"/>
            </w:tcMar>
          </w:tcPr>
          <w:p>
            <w:pPr>
              <w:spacing w:after="80"/>
            </w:pPr>
            <w:r>
              <w:rPr>
                <w:rFonts w:ascii="Calibri" w:hAnsi="Calibri"/>
                <w:b/>
                <w:color w:val="0E7490"/>
                <w:sz w:val="22"/>
              </w:rPr>
              <w:t xml:space="preserve">ℹ️ COMPLIANCE NOTE: </w:t>
            </w:r>
            <w:r>
              <w:rPr>
                <w:rFonts w:ascii="Calibri" w:hAnsi="Calibri"/>
                <w:color w:val="1E293B"/>
                <w:sz w:val="22"/>
              </w:rPr>
              <w:t>By enforcing image signatures, runtime engines can mathematically verify that containers were built and verified strictly by our approved GitHub Actions pipeline before execution.</w:t>
            </w:r>
          </w:p>
        </w:tc>
      </w:tr>
    </w:tbl>
    <w:p>
      <w:pPr>
        <w:spacing w:after="80"/>
      </w:pPr>
    </w:p>
    <w:p>
      <w:pPr>
        <w:keepNext/>
        <w:spacing w:before="360" w:after="120"/>
        <w:pBdr>
          <w:left w:val="single" w:sz="24" w:space="8" w:color="0E7490"/>
        </w:pBdr>
      </w:pPr>
      <w:r>
        <w:rPr>
          <w:rFonts w:ascii="Trebuchet MS" w:hAnsi="Trebuchet MS"/>
          <w:b/>
          <w:color w:val="0F172A"/>
          <w:sz w:val="32"/>
        </w:rPr>
        <w:t>4. Pipeline Integration &amp; Automation</w:t>
      </w:r>
    </w:p>
    <w:p>
      <w:r>
        <w:t xml:space="preserve">The entire lab suite is automated using a single GitHub Actions workflow file. The container is compiled from a hardened </w:t>
      </w:r>
      <w:r>
        <w:rPr>
          <w:b/>
        </w:rPr>
        <w:t>Dockerfile</w:t>
      </w:r>
      <w:r>
        <w:t xml:space="preserve">, pushed to the </w:t>
      </w:r>
      <w:r>
        <w:rPr>
          <w:b/>
        </w:rPr>
        <w:t>GitHub Container Registry (GHCR)</w:t>
      </w:r>
      <w:r>
        <w:t>, cryptographically signed keylessly using Cosign, and executed modularly. Below is the complete, validated YAML structure of the CI/CD pipeline, fully equipped with lowercase compliant repository tag parsing:</w:t>
      </w:r>
    </w:p>
    <w:tbl>
      <w:tblPr>
        <w:tblW w:type="auto" w:w="0"/>
        <w:jc w:val="center"/>
        <w:tblLayout w:type="fixed"/>
        <w:tblLook w:firstColumn="1" w:firstRow="1" w:lastColumn="0" w:lastRow="0" w:noHBand="0" w:noVBand="1" w:val="04A0"/>
      </w:tblPr>
      <w:tblGrid>
        <w:gridCol w:w="9360"/>
      </w:tblGrid>
      <w:tr>
        <w:tc>
          <w:tcPr>
            <w:tcW w:type="dxa" w:w="9360"/>
            <w:shd w:fill="1F2937"/>
            <w:tcBorders>
              <w:left w:val="single" w:sz="24" w:space="0" w:color="06B6D4"/>
              <w:top w:val="none"/>
              <w:bottom w:val="none"/>
              <w:right w:val="none"/>
            </w:tcBorders>
            <w:tcMar>
              <w:top w:w="140" w:type="dxa"/>
              <w:bottom w:w="140" w:type="dxa"/>
              <w:left w:w="180" w:type="dxa"/>
              <w:right w:w="180" w:type="dxa"/>
            </w:tcMar>
          </w:tcPr>
          <w:p>
            <w:pPr>
              <w:spacing w:before="0" w:after="0" w:line="276" w:lineRule="auto"/>
            </w:pPr>
            <w:r>
              <w:rPr>
                <w:rFonts w:ascii="Consolas" w:hAnsi="Consolas"/>
                <w:color w:val="F3F4F6"/>
                <w:sz w:val="19"/>
              </w:rPr>
              <w:t>name: Secure Build, Sign, and Run Pipeline</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on:</w:t>
            </w:r>
          </w:p>
          <w:p>
            <w:pPr>
              <w:spacing w:before="0" w:after="0" w:line="276" w:lineRule="auto"/>
            </w:pPr>
            <w:r>
              <w:rPr>
                <w:rFonts w:ascii="Consolas" w:hAnsi="Consolas"/>
                <w:color w:val="F3F4F6"/>
                <w:sz w:val="19"/>
              </w:rPr>
              <w:t xml:space="preserve">  push:</w:t>
            </w:r>
          </w:p>
          <w:p>
            <w:pPr>
              <w:spacing w:before="0" w:after="0" w:line="276" w:lineRule="auto"/>
            </w:pPr>
            <w:r>
              <w:rPr>
                <w:rFonts w:ascii="Consolas" w:hAnsi="Consolas"/>
                <w:color w:val="F3F4F6"/>
                <w:sz w:val="19"/>
              </w:rPr>
              <w:t xml:space="preserve">    branches: [ main ]</w:t>
            </w:r>
          </w:p>
          <w:p>
            <w:pPr>
              <w:spacing w:before="0" w:after="0" w:line="276" w:lineRule="auto"/>
            </w:pPr>
            <w:r>
              <w:rPr>
                <w:rFonts w:ascii="Consolas" w:hAnsi="Consolas"/>
                <w:color w:val="F3F4F6"/>
                <w:sz w:val="19"/>
              </w:rPr>
              <w:t xml:space="preserve">  pull_request:</w:t>
            </w:r>
          </w:p>
          <w:p>
            <w:pPr>
              <w:spacing w:before="0" w:after="0" w:line="276" w:lineRule="auto"/>
            </w:pPr>
            <w:r>
              <w:rPr>
                <w:rFonts w:ascii="Consolas" w:hAnsi="Consolas"/>
                <w:color w:val="F3F4F6"/>
                <w:sz w:val="19"/>
              </w:rPr>
              <w:t xml:space="preserve">    branches: [ main ]</w:t>
            </w:r>
          </w:p>
          <w:p>
            <w:pPr>
              <w:spacing w:before="0" w:after="0" w:line="276" w:lineRule="auto"/>
            </w:pPr>
            <w:r>
              <w:rPr>
                <w:rFonts w:ascii="Consolas" w:hAnsi="Consolas"/>
                <w:color w:val="F3F4F6"/>
                <w:sz w:val="19"/>
              </w:rPr>
              <w:t xml:space="preserve">  workflow_dispatch:</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jobs:</w:t>
            </w:r>
          </w:p>
          <w:p>
            <w:pPr>
              <w:spacing w:before="0" w:after="0" w:line="276" w:lineRule="auto"/>
            </w:pPr>
            <w:r>
              <w:rPr>
                <w:rFonts w:ascii="Consolas" w:hAnsi="Consolas"/>
                <w:color w:val="F3F4F6"/>
                <w:sz w:val="19"/>
              </w:rPr>
              <w:t xml:space="preserve">  build-sign-run:</w:t>
            </w:r>
          </w:p>
          <w:p>
            <w:pPr>
              <w:spacing w:before="0" w:after="0" w:line="276" w:lineRule="auto"/>
            </w:pPr>
            <w:r>
              <w:rPr>
                <w:rFonts w:ascii="Consolas" w:hAnsi="Consolas"/>
                <w:color w:val="F3F4F6"/>
                <w:sz w:val="19"/>
              </w:rPr>
              <w:t xml:space="preserve">    runs-on: ubuntu-latest</w:t>
            </w:r>
          </w:p>
          <w:p>
            <w:pPr>
              <w:spacing w:before="0" w:after="0" w:line="276" w:lineRule="auto"/>
            </w:pPr>
            <w:r>
              <w:rPr>
                <w:rFonts w:ascii="Consolas" w:hAnsi="Consolas"/>
                <w:color w:val="F3F4F6"/>
                <w:sz w:val="19"/>
              </w:rPr>
              <w:t xml:space="preserve">    permissions:</w:t>
            </w:r>
          </w:p>
          <w:p>
            <w:pPr>
              <w:spacing w:before="0" w:after="0" w:line="276" w:lineRule="auto"/>
            </w:pPr>
            <w:r>
              <w:rPr>
                <w:rFonts w:ascii="Consolas" w:hAnsi="Consolas"/>
                <w:color w:val="F3F4F6"/>
                <w:sz w:val="19"/>
              </w:rPr>
              <w:t xml:space="preserve">      contents: read</w:t>
            </w:r>
          </w:p>
          <w:p>
            <w:pPr>
              <w:spacing w:before="0" w:after="0" w:line="276" w:lineRule="auto"/>
            </w:pPr>
            <w:r>
              <w:rPr>
                <w:rFonts w:ascii="Consolas" w:hAnsi="Consolas"/>
                <w:color w:val="F3F4F6"/>
                <w:sz w:val="19"/>
              </w:rPr>
              <w:t xml:space="preserve">      packages: write      # Required to push image and signature to GHCR</w:t>
            </w:r>
          </w:p>
          <w:p>
            <w:pPr>
              <w:spacing w:before="0" w:after="0" w:line="276" w:lineRule="auto"/>
            </w:pPr>
            <w:r>
              <w:rPr>
                <w:rFonts w:ascii="Consolas" w:hAnsi="Consolas"/>
                <w:color w:val="F3F4F6"/>
                <w:sz w:val="19"/>
              </w:rPr>
              <w:t xml:space="preserve">      id-token: write      # Required for OIDC keyless signing</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steps:</w:t>
            </w:r>
          </w:p>
          <w:p>
            <w:pPr>
              <w:spacing w:before="0" w:after="0" w:line="276" w:lineRule="auto"/>
            </w:pPr>
            <w:r>
              <w:rPr>
                <w:rFonts w:ascii="Consolas" w:hAnsi="Consolas"/>
                <w:color w:val="F3F4F6"/>
                <w:sz w:val="19"/>
              </w:rPr>
              <w:t xml:space="preserve">    - name: Checkout Repository</w:t>
            </w:r>
          </w:p>
          <w:p>
            <w:pPr>
              <w:spacing w:before="0" w:after="0" w:line="276" w:lineRule="auto"/>
            </w:pPr>
            <w:r>
              <w:rPr>
                <w:rFonts w:ascii="Consolas" w:hAnsi="Consolas"/>
                <w:color w:val="F3F4F6"/>
                <w:sz w:val="19"/>
              </w:rPr>
              <w:t xml:space="preserve">      uses: actions/checkout@v4</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Set lowercase repository name</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echo "IMAGE_TAG=ghcr.io/${GITHUB_REPOSITORY,,}" &gt;&gt; ${GITHUB_ENV}</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Install Cosign</w:t>
            </w:r>
          </w:p>
          <w:p>
            <w:pPr>
              <w:spacing w:before="0" w:after="0" w:line="276" w:lineRule="auto"/>
            </w:pPr>
            <w:r>
              <w:rPr>
                <w:rFonts w:ascii="Consolas" w:hAnsi="Consolas"/>
                <w:color w:val="F3F4F6"/>
                <w:sz w:val="19"/>
              </w:rPr>
              <w:t xml:space="preserve">      uses: sigstore/cosign-installer@v3.5.0</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Log in to GHCR</w:t>
            </w:r>
          </w:p>
          <w:p>
            <w:pPr>
              <w:spacing w:before="0" w:after="0" w:line="276" w:lineRule="auto"/>
            </w:pPr>
            <w:r>
              <w:rPr>
                <w:rFonts w:ascii="Consolas" w:hAnsi="Consolas"/>
                <w:color w:val="F3F4F6"/>
                <w:sz w:val="19"/>
              </w:rPr>
              <w:t xml:space="preserve">      uses: docker/login-action@v3</w:t>
            </w:r>
          </w:p>
          <w:p>
            <w:pPr>
              <w:spacing w:before="0" w:after="0" w:line="276" w:lineRule="auto"/>
            </w:pPr>
            <w:r>
              <w:rPr>
                <w:rFonts w:ascii="Consolas" w:hAnsi="Consolas"/>
                <w:color w:val="F3F4F6"/>
                <w:sz w:val="19"/>
              </w:rPr>
              <w:t xml:space="preserve">      with:</w:t>
            </w:r>
          </w:p>
          <w:p>
            <w:pPr>
              <w:spacing w:before="0" w:after="0" w:line="276" w:lineRule="auto"/>
            </w:pPr>
            <w:r>
              <w:rPr>
                <w:rFonts w:ascii="Consolas" w:hAnsi="Consolas"/>
                <w:color w:val="F3F4F6"/>
                <w:sz w:val="19"/>
              </w:rPr>
              <w:t xml:space="preserve">        registry: ghcr.io</w:t>
            </w:r>
          </w:p>
          <w:p>
            <w:pPr>
              <w:spacing w:before="0" w:after="0" w:line="276" w:lineRule="auto"/>
            </w:pPr>
            <w:r>
              <w:rPr>
                <w:rFonts w:ascii="Consolas" w:hAnsi="Consolas"/>
                <w:color w:val="F3F4F6"/>
                <w:sz w:val="19"/>
              </w:rPr>
              <w:t xml:space="preserve">        username: ${{ github.actor }}</w:t>
            </w:r>
          </w:p>
          <w:p>
            <w:pPr>
              <w:spacing w:before="0" w:after="0" w:line="276" w:lineRule="auto"/>
            </w:pPr>
            <w:r>
              <w:rPr>
                <w:rFonts w:ascii="Consolas" w:hAnsi="Consolas"/>
                <w:color w:val="F3F4F6"/>
                <w:sz w:val="19"/>
              </w:rPr>
              <w:t xml:space="preserve">        password: ${{ secrets.GITHUB_TOKEN }}</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Build and Push Docker Image</w:t>
            </w:r>
          </w:p>
          <w:p>
            <w:pPr>
              <w:spacing w:before="0" w:after="0" w:line="276" w:lineRule="auto"/>
            </w:pPr>
            <w:r>
              <w:rPr>
                <w:rFonts w:ascii="Consolas" w:hAnsi="Consolas"/>
                <w:color w:val="F3F4F6"/>
                <w:sz w:val="19"/>
              </w:rPr>
              <w:t xml:space="preserve">      uses: docker/build-push-action@v5</w:t>
            </w:r>
          </w:p>
          <w:p>
            <w:pPr>
              <w:spacing w:before="0" w:after="0" w:line="276" w:lineRule="auto"/>
            </w:pPr>
            <w:r>
              <w:rPr>
                <w:rFonts w:ascii="Consolas" w:hAnsi="Consolas"/>
                <w:color w:val="F3F4F6"/>
                <w:sz w:val="19"/>
              </w:rPr>
              <w:t xml:space="preserve">      with:</w:t>
            </w:r>
          </w:p>
          <w:p>
            <w:pPr>
              <w:spacing w:before="0" w:after="0" w:line="276" w:lineRule="auto"/>
            </w:pPr>
            <w:r>
              <w:rPr>
                <w:rFonts w:ascii="Consolas" w:hAnsi="Consolas"/>
                <w:color w:val="F3F4F6"/>
                <w:sz w:val="19"/>
              </w:rPr>
              <w:t xml:space="preserve">        context: .</w:t>
            </w:r>
          </w:p>
          <w:p>
            <w:pPr>
              <w:spacing w:before="0" w:after="0" w:line="276" w:lineRule="auto"/>
            </w:pPr>
            <w:r>
              <w:rPr>
                <w:rFonts w:ascii="Consolas" w:hAnsi="Consolas"/>
                <w:color w:val="F3F4F6"/>
                <w:sz w:val="19"/>
              </w:rPr>
              <w:t xml:space="preserve">        push: true</w:t>
            </w:r>
          </w:p>
          <w:p>
            <w:pPr>
              <w:spacing w:before="0" w:after="0" w:line="276" w:lineRule="auto"/>
            </w:pPr>
            <w:r>
              <w:rPr>
                <w:rFonts w:ascii="Consolas" w:hAnsi="Consolas"/>
                <w:color w:val="F3F4F6"/>
                <w:sz w:val="19"/>
              </w:rPr>
              <w:t xml:space="preserve">        tags: |</w:t>
            </w:r>
          </w:p>
          <w:p>
            <w:pPr>
              <w:spacing w:before="0" w:after="0" w:line="276" w:lineRule="auto"/>
            </w:pPr>
            <w:r>
              <w:rPr>
                <w:rFonts w:ascii="Consolas" w:hAnsi="Consolas"/>
                <w:color w:val="F3F4F6"/>
                <w:sz w:val="19"/>
              </w:rPr>
              <w:t xml:space="preserve">          ${{ env.IMAGE_TAG }}:latest</w:t>
            </w:r>
          </w:p>
          <w:p>
            <w:pPr>
              <w:spacing w:before="0" w:after="0" w:line="276" w:lineRule="auto"/>
            </w:pPr>
            <w:r>
              <w:rPr>
                <w:rFonts w:ascii="Consolas" w:hAnsi="Consolas"/>
                <w:color w:val="F3F4F6"/>
                <w:sz w:val="19"/>
              </w:rPr>
              <w:t xml:space="preserve">          ${{ env.IMAGE_TAG }}:${{ github.sha }}</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Sign the Published Image keylessly</w:t>
            </w:r>
          </w:p>
          <w:p>
            <w:pPr>
              <w:spacing w:before="0" w:after="0" w:line="276" w:lineRule="auto"/>
            </w:pPr>
            <w:r>
              <w:rPr>
                <w:rFonts w:ascii="Consolas" w:hAnsi="Consolas"/>
                <w:color w:val="F3F4F6"/>
                <w:sz w:val="19"/>
              </w:rPr>
              <w:t xml:space="preserve">      env:</w:t>
            </w:r>
          </w:p>
          <w:p>
            <w:pPr>
              <w:spacing w:before="0" w:after="0" w:line="276" w:lineRule="auto"/>
            </w:pPr>
            <w:r>
              <w:rPr>
                <w:rFonts w:ascii="Consolas" w:hAnsi="Consolas"/>
                <w:color w:val="F3F4F6"/>
                <w:sz w:val="19"/>
              </w:rPr>
              <w:t xml:space="preserve">        TAGS: ${{ env.IMAGE_TAG }}:${{ github.sha }}</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cosign sign --yes "${TAGS}"</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"Run Stage 1 (Dirty COW Exploit)"</w:t>
            </w:r>
          </w:p>
          <w:p>
            <w:pPr>
              <w:spacing w:before="0" w:after="0" w:line="276" w:lineRule="auto"/>
            </w:pPr>
            <w:r>
              <w:rPr>
                <w:rFonts w:ascii="Consolas" w:hAnsi="Consolas"/>
                <w:color w:val="F3F4F6"/>
                <w:sz w:val="19"/>
              </w:rPr>
              <w:t xml:space="preserve">      run: docker run --rm ${{ env.IMAGE_TAG }}:latest /bin/bash run_demo.sh --stage-1</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"Run Stage 2 (Capabilities Isolation)"</w:t>
            </w:r>
          </w:p>
          <w:p>
            <w:pPr>
              <w:spacing w:before="0" w:after="0" w:line="276" w:lineRule="auto"/>
            </w:pPr>
            <w:r>
              <w:rPr>
                <w:rFonts w:ascii="Consolas" w:hAnsi="Consolas"/>
                <w:color w:val="F3F4F6"/>
                <w:sz w:val="19"/>
              </w:rPr>
              <w:t xml:space="preserve">      run: docker run --rm ${{ env.IMAGE_TAG }}:latest /bin/bash run_demo.sh --stage-2</w:t>
            </w:r>
          </w:p>
        </w:tc>
      </w:tr>
    </w:tbl>
    <w:p>
      <w:pPr>
        <w:spacing w:after="80"/>
      </w:pPr>
    </w:p>
    <w:p>
      <w:pPr>
        <w:keepNext/>
        <w:spacing w:before="360" w:after="120"/>
        <w:pBdr>
          <w:left w:val="single" w:sz="24" w:space="8" w:color="0E7490"/>
        </w:pBdr>
      </w:pPr>
      <w:r>
        <w:rPr>
          <w:rFonts w:ascii="Trebuchet MS" w:hAnsi="Trebuchet MS"/>
          <w:b/>
          <w:color w:val="0F172A"/>
          <w:sz w:val="32"/>
        </w:rPr>
        <w:t>5. DevSecOps Hardening &amp; Remediation Checklist</w:t>
      </w:r>
    </w:p>
    <w:p>
      <w:r>
        <w:t>To secure production environments and permanently stop these container escape vectors, execute the following remediation rules across your infrastructure:</w:t>
      </w:r>
    </w:p>
    <w:p>
      <w:pPr>
        <w:pStyle w:val="ListBullet"/>
        <w:spacing w:before="40" w:after="80"/>
      </w:pPr>
      <w:r>
        <w:rPr>
          <w:b/>
          <w:color w:val="0E7490"/>
        </w:rPr>
        <w:t xml:space="preserve">[Host Kernel Patching] </w:t>
      </w:r>
      <w:r>
        <w:t>Update host Linux kernels immediately to ensure page fault lookups are atomic, eliminating Dirty COW race vectors.</w:t>
      </w:r>
    </w:p>
    <w:p>
      <w:pPr>
        <w:pStyle w:val="ListBullet"/>
        <w:spacing w:before="40" w:after="80"/>
      </w:pPr>
      <w:r>
        <w:rPr>
          <w:b/>
          <w:color w:val="0E7490"/>
        </w:rPr>
        <w:t xml:space="preserve">[Enforce Read-Only Mounts] </w:t>
      </w:r>
      <w:r>
        <w:t>Always mount host volumes in containers using the read-only flag. Example: docker run -v /etc/config:/config:ro ubuntu.</w:t>
      </w:r>
    </w:p>
    <w:p>
      <w:pPr>
        <w:pStyle w:val="ListBullet"/>
        <w:spacing w:before="40" w:after="80"/>
      </w:pPr>
      <w:r>
        <w:rPr>
          <w:b/>
          <w:color w:val="0E7490"/>
        </w:rPr>
        <w:t xml:space="preserve">[Drop Default Capabilities] </w:t>
      </w:r>
      <w:r>
        <w:t>Execute containers with stripped capability lists, explicitly dropping CAP_SYS_PTRACE and CAP_SYS_ADMIN capabilities.</w:t>
      </w:r>
    </w:p>
    <w:p>
      <w:pPr>
        <w:pStyle w:val="ListBullet"/>
        <w:spacing w:before="40" w:after="80"/>
      </w:pPr>
      <w:r>
        <w:rPr>
          <w:b/>
          <w:color w:val="0E7490"/>
        </w:rPr>
        <w:t xml:space="preserve">[Configure Low-Privilege Users] </w:t>
      </w:r>
      <w:r>
        <w:t>Switch away from the root user inside images by declaring USER victim in Dockerfiles to prevent root filesystem writes.</w:t>
      </w:r>
    </w:p>
    <w:p>
      <w:pPr>
        <w:pStyle w:val="ListBullet"/>
        <w:spacing w:before="40" w:after="80"/>
      </w:pPr>
      <w:r>
        <w:rPr>
          <w:b/>
          <w:color w:val="0E7490"/>
        </w:rPr>
        <w:t xml:space="preserve">[Eliminate Socket Mounting] </w:t>
      </w:r>
      <w:r>
        <w:t>Never mount /var/run/docker.sock into untrusted pods. Migrate workloads to secure rootless runtime engines (e.g. Podman).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