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and sourcing guide</w:t>
      </w:r>
    </w:p>
    <w:p>
      <w:pPr>
        <w:pStyle w:val="Subtitle"/>
      </w:pPr>
      <w:r>
        <w:t>Talent Acquisition Agent: what the law allows, what it does not, and how recruiters search candidate sites legally</w:t>
      </w:r>
    </w:p>
    <w:p>
      <w:r>
        <w:rPr>
          <w:rFonts w:ascii="JetBrains Mono" w:hAnsi="JetBrains Mono" w:cs="JetBrains Mono" w:eastAsia="JetBrains Mono"/>
          <w:b w:val="0"/>
          <w:color w:val="171B22"/>
          <w:sz w:val="18"/>
        </w:rPr>
        <w:t>LEGAL AND SOURCING GUIDE / CONCEPT APPLICATION / 2026-10-30</w:t>
      </w:r>
    </w:p>
    <w:p>
      <w:pPr>
        <w:pBdr>
          <w:top w:val="single" w:sz="6" w:space="6" w:color="8A8F99"/>
          <w:left w:val="single" w:sz="6" w:space="6" w:color="8A8F99"/>
          <w:bottom w:val="single" w:sz="6" w:space="6" w:color="8A8F99"/>
          <w:right w:val="single" w:sz="6" w:space="6" w:color="8A8F99"/>
        </w:pBdr>
        <w:spacing w:before="120" w:after="200"/>
        <w:ind w:left="115" w:right="115"/>
      </w:pPr>
      <w:r>
        <w:rPr>
          <w:rFonts w:ascii="JetBrains Mono" w:hAnsi="JetBrains Mono" w:cs="JetBrains Mono" w:eastAsia="JetBrains Mono"/>
          <w:b w:val="0"/>
          <w:caps/>
          <w:color w:val="171B22"/>
          <w:sz w:val="18"/>
        </w:rPr>
        <w:t xml:space="preserve">Not legal advice  </w:t>
      </w:r>
      <w:r>
        <w:rPr>
          <w:rFonts w:ascii="Archivo" w:hAnsi="Archivo" w:cs="Archivo" w:eastAsia="Archivo"/>
          <w:sz w:val="20"/>
        </w:rPr>
        <w:t>This guide summarizes public law, court decisions and platform terms as of October 30, 2026, for planning. State AI hiring law has changed repeatedly since 2024. Astrion employment counsel should confirm each item before the tool is used on live requisitions. Items marked "confirm" could not be verified against a primary source for this guide.</w:t>
      </w:r>
    </w:p>
    <w:p>
      <w:pPr>
        <w:pStyle w:val="Heading1"/>
      </w:pPr>
      <w:r>
        <w:t>1. Bottom line</w:t>
      </w:r>
    </w:p>
    <w:p>
      <w:pPr>
        <w:tabs>
          <w:tab w:pos="432" w:val="left"/>
        </w:tabs>
        <w:spacing w:after="80"/>
        <w:ind w:left="432" w:hanging="432"/>
      </w:pPr>
      <w:r>
        <w:rPr>
          <w:rFonts w:ascii="Archivo" w:hAnsi="Archivo" w:cs="Archivo" w:eastAsia="Archivo"/>
        </w:rPr>
        <w:t>1.</w:t>
        <w:tab/>
      </w:r>
      <w:r>
        <w:rPr>
          <w:rFonts w:ascii="Archivo" w:hAnsi="Archivo" w:cs="Archivo" w:eastAsia="Archivo"/>
          <w:b/>
          <w:color w:val="0B0D10"/>
        </w:rPr>
        <w:t xml:space="preserve">Do not scrape. </w:t>
      </w:r>
      <w:r>
        <w:rPr>
          <w:rFonts w:ascii="Archivo" w:hAnsi="Archivo" w:cs="Archivo" w:eastAsia="Archivo"/>
        </w:rPr>
        <w:t>LinkedIn, Indeed, ClearanceJobs, GitHub and the search engines prohibit automated collection in their terms. LinkedIn enforces in court, and the scrapers it has sued lost or shut down.</w:t>
      </w:r>
    </w:p>
    <w:p>
      <w:pPr>
        <w:tabs>
          <w:tab w:pos="432" w:val="left"/>
        </w:tabs>
        <w:spacing w:after="80"/>
        <w:ind w:left="432" w:hanging="432"/>
      </w:pPr>
      <w:r>
        <w:rPr>
          <w:rFonts w:ascii="Archivo" w:hAnsi="Archivo" w:cs="Archivo" w:eastAsia="Archivo"/>
        </w:rPr>
        <w:t>2.</w:t>
        <w:tab/>
      </w:r>
      <w:r>
        <w:rPr>
          <w:rFonts w:ascii="Archivo" w:hAnsi="Archivo" w:cs="Archivo" w:eastAsia="Archivo"/>
          <w:b/>
          <w:color w:val="0B0D10"/>
        </w:rPr>
        <w:t xml:space="preserve">Use licensed access. </w:t>
      </w:r>
      <w:r>
        <w:rPr>
          <w:rFonts w:ascii="Archivo" w:hAnsi="Archivo" w:cs="Archivo" w:eastAsia="Archivo"/>
        </w:rPr>
        <w:t>The tool scores only data that recruiters obtain through products Astrion licenses and export themselves, data from licensed data vendors, and Astrion's own records.</w:t>
      </w:r>
    </w:p>
    <w:p>
      <w:pPr>
        <w:tabs>
          <w:tab w:pos="432" w:val="left"/>
        </w:tabs>
        <w:spacing w:after="80"/>
        <w:ind w:left="432" w:hanging="432"/>
      </w:pPr>
      <w:r>
        <w:rPr>
          <w:rFonts w:ascii="Archivo" w:hAnsi="Archivo" w:cs="Archivo" w:eastAsia="Archivo"/>
        </w:rPr>
        <w:t>3.</w:t>
        <w:tab/>
      </w:r>
      <w:r>
        <w:rPr>
          <w:rFonts w:ascii="Archivo" w:hAnsi="Archivo" w:cs="Archivo" w:eastAsia="Archivo"/>
          <w:b/>
          <w:color w:val="0B0D10"/>
        </w:rPr>
        <w:t xml:space="preserve">AI ranking is regulated. </w:t>
      </w:r>
      <w:r>
        <w:rPr>
          <w:rFonts w:ascii="Archivo" w:hAnsi="Archivo" w:cs="Archivo" w:eastAsia="Archivo"/>
        </w:rPr>
        <w:t>Federal anti-discrimination law applies to any selection procedure. Illinois, California and New York City add AI-specific duties now, and Colorado from January 2027.</w:t>
      </w:r>
    </w:p>
    <w:p>
      <w:pPr>
        <w:tabs>
          <w:tab w:pos="432" w:val="left"/>
        </w:tabs>
        <w:spacing w:after="80"/>
        <w:ind w:left="432" w:hanging="432"/>
      </w:pPr>
      <w:r>
        <w:rPr>
          <w:rFonts w:ascii="Archivo" w:hAnsi="Archivo" w:cs="Archivo" w:eastAsia="Archivo"/>
        </w:rPr>
        <w:t>4.</w:t>
        <w:tab/>
      </w:r>
      <w:r>
        <w:rPr>
          <w:rFonts w:ascii="Archivo" w:hAnsi="Archivo" w:cs="Archivo" w:eastAsia="Archivo"/>
          <w:b/>
          <w:color w:val="0B0D10"/>
        </w:rPr>
        <w:t xml:space="preserve">Keep a human in every decision. </w:t>
      </w:r>
      <w:r>
        <w:rPr>
          <w:rFonts w:ascii="Archivo" w:hAnsi="Archivo" w:cs="Archivo" w:eastAsia="Archivo"/>
        </w:rPr>
        <w:t>Recruiters review every candidate and send every message. The tool never contacts anyone.</w:t>
      </w:r>
    </w:p>
    <w:p>
      <w:pPr>
        <w:tabs>
          <w:tab w:pos="432" w:val="left"/>
        </w:tabs>
        <w:spacing w:after="80"/>
        <w:ind w:left="432" w:hanging="432"/>
      </w:pPr>
      <w:r>
        <w:rPr>
          <w:rFonts w:ascii="Archivo" w:hAnsi="Archivo" w:cs="Archivo" w:eastAsia="Archivo"/>
        </w:rPr>
        <w:t>5.</w:t>
        <w:tab/>
      </w:r>
      <w:r>
        <w:rPr>
          <w:rFonts w:ascii="Archivo" w:hAnsi="Archivo" w:cs="Archivo" w:eastAsia="Archivo"/>
          <w:b/>
          <w:color w:val="0B0D10"/>
        </w:rPr>
        <w:t xml:space="preserve">Honor real non-solicits only. </w:t>
      </w:r>
      <w:r>
        <w:rPr>
          <w:rFonts w:ascii="Archivo" w:hAnsi="Archivo" w:cs="Archivo" w:eastAsia="Archivo"/>
        </w:rPr>
        <w:t>Exclude candidates only where a teaming agreement, subcontract or NDA requires it. Informal no-poach understandings with other companies are an antitrust problem.</w:t>
      </w:r>
    </w:p>
    <w:p>
      <w:pPr>
        <w:pStyle w:val="Heading1"/>
      </w:pPr>
      <w:r>
        <w:t>2. Why the tool does not scrape</w:t>
      </w:r>
    </w:p>
    <w:p>
      <w:r>
        <w:rPr>
          <w:rFonts w:ascii="Archivo" w:hAnsi="Archivo" w:cs="Archivo" w:eastAsia="Archivo"/>
        </w:rPr>
        <w:t>Scraping means software that visits a site and copies data automatically: bots, crawlers, browser extensions that harvest profiles, or scripts driving a logged-in account. Reading a profile yourself is not scraping. The legal risk sits in two places: the platform's contract (its terms of use) and, for some conduct, federal and state computer-access law.</w:t>
      </w:r>
    </w:p>
    <w:p>
      <w:pPr>
        <w:pStyle w:val="Heading2"/>
      </w:pPr>
      <w:r>
        <w:t>Platform terms</w:t>
      </w:r>
    </w:p>
    <w:tbl>
      <w:tblPr>
        <w:tblW w:type="pct" w:w="5000"/>
        <w:jc w:val="left"/>
        <w:tblInd w:type="dxa" w:w="115"/>
        <w:tblBorders>
          <w:top w:val="single" w:sz="4" w:color="8A8F99"/>
          <w:left w:val="nil" w:sz="4" w:color="8A8F99"/>
          <w:bottom w:val="single" w:sz="4" w:color="8A8F99"/>
          <w:right w:val="nil" w:sz="4" w:color="8A8F99"/>
          <w:insideH w:val="single" w:sz="4" w:color="8A8F99"/>
          <w:insideV w:val="nil" w:sz="4" w:color="8A8F99"/>
        </w:tblBorders>
        <w:tblLayout w:type="fixed"/>
        <w:tblCellMar>
          <w:top w:w="72" w:type="dxa"/>
          <w:bottom w:w="72" w:type="dxa"/>
          <w:left w:w="115" w:type="dxa"/>
          <w:right w:w="115" w:type="dxa"/>
        </w:tblCellMar>
        <w:tblLook w:firstColumn="1" w:firstRow="1" w:lastColumn="0" w:lastRow="0" w:noHBand="0" w:noVBand="1" w:val="04A0"/>
      </w:tblPr>
      <w:tblGrid>
        <w:gridCol w:w="1728"/>
        <w:gridCol w:w="3960"/>
        <w:gridCol w:w="3671"/>
      </w:tblGrid>
      <w:tr>
        <w:trPr>
          <w:cantSplit w:val="true"/>
          <w:tblHeader w:val="true"/>
        </w:trPr>
        <w:tc>
          <w:tcPr>
            <w:tcW w:type="dxa" w:w="1728"/>
            <w:shd w:val="clear" w:color="auto" w:fill="171B22"/>
          </w:tcPr>
          <w:p>
            <w:pPr>
              <w:spacing w:before="0" w:after="0"/>
            </w:pPr>
            <w:r>
              <w:rPr>
                <w:rFonts w:ascii="JetBrains Mono" w:hAnsi="JetBrains Mono" w:cs="JetBrains Mono" w:eastAsia="JetBrains Mono"/>
                <w:b w:val="0"/>
                <w:color w:val="EEEDE7"/>
                <w:sz w:val="18"/>
              </w:rPr>
              <w:t>PLATFORM</w:t>
            </w:r>
          </w:p>
        </w:tc>
        <w:tc>
          <w:tcPr>
            <w:tcW w:type="dxa" w:w="3960"/>
            <w:shd w:val="clear" w:color="auto" w:fill="171B22"/>
          </w:tcPr>
          <w:p>
            <w:pPr>
              <w:spacing w:before="0" w:after="0"/>
            </w:pPr>
            <w:r>
              <w:rPr>
                <w:rFonts w:ascii="JetBrains Mono" w:hAnsi="JetBrains Mono" w:cs="JetBrains Mono" w:eastAsia="JetBrains Mono"/>
                <w:b w:val="0"/>
                <w:color w:val="EEEDE7"/>
                <w:sz w:val="18"/>
              </w:rPr>
              <w:t>WHAT THE TERMS SAY</w:t>
            </w:r>
          </w:p>
        </w:tc>
        <w:tc>
          <w:tcPr>
            <w:tcW w:type="dxa" w:w="3672"/>
            <w:shd w:val="clear" w:color="auto" w:fill="171B22"/>
          </w:tcPr>
          <w:p>
            <w:pPr>
              <w:spacing w:before="0" w:after="0"/>
            </w:pPr>
            <w:r>
              <w:rPr>
                <w:rFonts w:ascii="JetBrains Mono" w:hAnsi="JetBrains Mono" w:cs="JetBrains Mono" w:eastAsia="JetBrains Mono"/>
                <w:b w:val="0"/>
                <w:color w:val="EEEDE7"/>
                <w:sz w:val="18"/>
              </w:rPr>
              <w:t>WHAT IT MEANS FOR RECRUITERS</w:t>
            </w:r>
          </w:p>
        </w:tc>
      </w:tr>
      <w:tr>
        <w:trPr>
          <w:cantSplit w:val="true"/>
        </w:trPr>
        <w:tc>
          <w:tcPr>
            <w:tcW w:type="dxa" w:w="1728"/>
          </w:tcPr>
          <w:p>
            <w:pPr>
              <w:spacing w:before="0" w:after="0"/>
              <w:jc w:val="left"/>
            </w:pPr>
            <w:r>
              <w:rPr>
                <w:rFonts w:ascii="Archivo" w:hAnsi="Archivo" w:cs="Archivo" w:eastAsia="Archivo"/>
                <w:b w:val="0"/>
                <w:color w:val="0B0D10"/>
                <w:sz w:val="18"/>
              </w:rPr>
              <w:t>LinkedIn</w:t>
            </w:r>
          </w:p>
        </w:tc>
        <w:tc>
          <w:tcPr>
            <w:tcW w:type="dxa" w:w="3960"/>
          </w:tcPr>
          <w:p>
            <w:pPr>
              <w:spacing w:before="0" w:after="0"/>
              <w:jc w:val="left"/>
            </w:pPr>
            <w:r>
              <w:rPr>
                <w:rFonts w:ascii="Archivo" w:hAnsi="Archivo" w:cs="Archivo" w:eastAsia="Archivo"/>
                <w:b w:val="0"/>
                <w:color w:val="0B0D10"/>
                <w:sz w:val="18"/>
              </w:rPr>
              <w:t>The User Agreement prohibits using software, scripts, robots, crawlers, browser plug-ins or add-ons to scrape or copy profiles and other data, and prohibits fake accounts.</w:t>
            </w:r>
          </w:p>
        </w:tc>
        <w:tc>
          <w:tcPr>
            <w:tcW w:type="dxa" w:w="3672"/>
          </w:tcPr>
          <w:p>
            <w:pPr>
              <w:spacing w:before="0" w:after="0"/>
              <w:jc w:val="left"/>
            </w:pPr>
            <w:r>
              <w:rPr>
                <w:rFonts w:ascii="Archivo" w:hAnsi="Archivo" w:cs="Archivo" w:eastAsia="Archivo"/>
                <w:b w:val="0"/>
                <w:color w:val="0B0D10"/>
                <w:sz w:val="18"/>
              </w:rPr>
              <w:t>No bots, no profile-harvesting extensions, no shared or fake accounts. Each Recruiter seat belongs to one person.</w:t>
            </w:r>
          </w:p>
        </w:tc>
      </w:tr>
      <w:tr>
        <w:trPr>
          <w:cantSplit w:val="true"/>
        </w:trPr>
        <w:tc>
          <w:tcPr>
            <w:tcW w:type="dxa" w:w="1728"/>
          </w:tcPr>
          <w:p>
            <w:pPr>
              <w:spacing w:before="0" w:after="0"/>
              <w:jc w:val="left"/>
            </w:pPr>
            <w:r>
              <w:rPr>
                <w:rFonts w:ascii="Archivo" w:hAnsi="Archivo" w:cs="Archivo" w:eastAsia="Archivo"/>
                <w:b w:val="0"/>
                <w:color w:val="0B0D10"/>
                <w:sz w:val="18"/>
              </w:rPr>
              <w:t>Indeed</w:t>
            </w:r>
          </w:p>
        </w:tc>
        <w:tc>
          <w:tcPr>
            <w:tcW w:type="dxa" w:w="3960"/>
          </w:tcPr>
          <w:p>
            <w:pPr>
              <w:spacing w:before="0" w:after="0"/>
              <w:jc w:val="left"/>
            </w:pPr>
            <w:r>
              <w:rPr>
                <w:rFonts w:ascii="Archivo" w:hAnsi="Archivo" w:cs="Archivo" w:eastAsia="Archivo"/>
                <w:b w:val="0"/>
                <w:color w:val="0B0D10"/>
                <w:sz w:val="18"/>
              </w:rPr>
              <w:t>Terms prohibit automated access and collection (confirm the current employer terms).</w:t>
            </w:r>
          </w:p>
        </w:tc>
        <w:tc>
          <w:tcPr>
            <w:tcW w:type="dxa" w:w="3672"/>
          </w:tcPr>
          <w:p>
            <w:pPr>
              <w:spacing w:before="0" w:after="0"/>
              <w:jc w:val="left"/>
            </w:pPr>
            <w:r>
              <w:rPr>
                <w:rFonts w:ascii="Archivo" w:hAnsi="Archivo" w:cs="Archivo" w:eastAsia="Archivo"/>
                <w:b w:val="0"/>
                <w:color w:val="0B0D10"/>
                <w:sz w:val="18"/>
              </w:rPr>
              <w:t>Use Indeed's employer products and Astrion's own postings. Applicants flow to the ATS.</w:t>
            </w:r>
          </w:p>
        </w:tc>
      </w:tr>
      <w:tr>
        <w:trPr>
          <w:cantSplit w:val="true"/>
        </w:trPr>
        <w:tc>
          <w:tcPr>
            <w:tcW w:type="dxa" w:w="1728"/>
          </w:tcPr>
          <w:p>
            <w:pPr>
              <w:spacing w:before="0" w:after="0"/>
              <w:jc w:val="left"/>
            </w:pPr>
            <w:r>
              <w:rPr>
                <w:rFonts w:ascii="Archivo" w:hAnsi="Archivo" w:cs="Archivo" w:eastAsia="Archivo"/>
                <w:b w:val="0"/>
                <w:color w:val="0B0D10"/>
                <w:sz w:val="18"/>
              </w:rPr>
              <w:t>ClearanceJobs</w:t>
            </w:r>
          </w:p>
        </w:tc>
        <w:tc>
          <w:tcPr>
            <w:tcW w:type="dxa" w:w="3960"/>
          </w:tcPr>
          <w:p>
            <w:pPr>
              <w:spacing w:before="0" w:after="0"/>
              <w:jc w:val="left"/>
            </w:pPr>
            <w:r>
              <w:rPr>
                <w:rFonts w:ascii="Archivo" w:hAnsi="Archivo" w:cs="Archivo" w:eastAsia="Archivo"/>
                <w:b w:val="0"/>
                <w:color w:val="0B0D10"/>
                <w:sz w:val="18"/>
              </w:rPr>
              <w:t>The recruiter license governs search, use and export of candidate data (confirm export rights).</w:t>
            </w:r>
          </w:p>
        </w:tc>
        <w:tc>
          <w:tcPr>
            <w:tcW w:type="dxa" w:w="3672"/>
          </w:tcPr>
          <w:p>
            <w:pPr>
              <w:spacing w:before="0" w:after="0"/>
              <w:jc w:val="left"/>
            </w:pPr>
            <w:r>
              <w:rPr>
                <w:rFonts w:ascii="Archivo" w:hAnsi="Archivo" w:cs="Archivo" w:eastAsia="Archivo"/>
                <w:b w:val="0"/>
                <w:color w:val="0B0D10"/>
                <w:sz w:val="18"/>
              </w:rPr>
              <w:t>Search inside the product; export only as the license allows.</w:t>
            </w:r>
          </w:p>
        </w:tc>
      </w:tr>
      <w:tr>
        <w:trPr>
          <w:cantSplit w:val="true"/>
        </w:trPr>
        <w:tc>
          <w:tcPr>
            <w:tcW w:type="dxa" w:w="1728"/>
          </w:tcPr>
          <w:p>
            <w:pPr>
              <w:spacing w:before="0" w:after="0"/>
              <w:jc w:val="left"/>
            </w:pPr>
            <w:r>
              <w:rPr>
                <w:rFonts w:ascii="Archivo" w:hAnsi="Archivo" w:cs="Archivo" w:eastAsia="Archivo"/>
                <w:b w:val="0"/>
                <w:color w:val="0B0D10"/>
                <w:sz w:val="18"/>
              </w:rPr>
              <w:t>GitHub</w:t>
            </w:r>
          </w:p>
        </w:tc>
        <w:tc>
          <w:tcPr>
            <w:tcW w:type="dxa" w:w="3960"/>
          </w:tcPr>
          <w:p>
            <w:pPr>
              <w:spacing w:before="0" w:after="0"/>
              <w:jc w:val="left"/>
            </w:pPr>
            <w:r>
              <w:rPr>
                <w:rFonts w:ascii="Archivo" w:hAnsi="Archivo" w:cs="Archivo" w:eastAsia="Archivo"/>
                <w:b w:val="0"/>
                <w:color w:val="0B0D10"/>
                <w:sz w:val="18"/>
              </w:rPr>
              <w:t>The Acceptable Use Policies bar using information from GitHub, whether scraped, pulled from the API or obtained otherwise, for spam, including unsolicited email or selling personal information to recruiters, headhunters and job boards.</w:t>
            </w:r>
          </w:p>
        </w:tc>
        <w:tc>
          <w:tcPr>
            <w:tcW w:type="dxa" w:w="3672"/>
          </w:tcPr>
          <w:p>
            <w:pPr>
              <w:spacing w:before="0" w:after="0"/>
              <w:jc w:val="left"/>
            </w:pPr>
            <w:r>
              <w:rPr>
                <w:rFonts w:ascii="Archivo" w:hAnsi="Archivo" w:cs="Archivo" w:eastAsia="Archivo"/>
                <w:b w:val="0"/>
                <w:color w:val="0B0D10"/>
                <w:sz w:val="18"/>
              </w:rPr>
              <w:t>Read public profiles and contact people one at a time. Do not build harvested lists of GitHub users or email them in bulk.</w:t>
            </w:r>
          </w:p>
        </w:tc>
      </w:tr>
      <w:tr>
        <w:trPr>
          <w:cantSplit w:val="true"/>
        </w:trPr>
        <w:tc>
          <w:tcPr>
            <w:tcW w:type="dxa" w:w="1728"/>
          </w:tcPr>
          <w:p>
            <w:pPr>
              <w:spacing w:before="0" w:after="0"/>
              <w:jc w:val="left"/>
            </w:pPr>
            <w:r>
              <w:rPr>
                <w:rFonts w:ascii="Archivo" w:hAnsi="Archivo" w:cs="Archivo" w:eastAsia="Archivo"/>
                <w:b w:val="0"/>
                <w:color w:val="0B0D10"/>
                <w:sz w:val="18"/>
              </w:rPr>
              <w:t>Google and other search engines</w:t>
            </w:r>
          </w:p>
        </w:tc>
        <w:tc>
          <w:tcPr>
            <w:tcW w:type="dxa" w:w="3960"/>
          </w:tcPr>
          <w:p>
            <w:pPr>
              <w:spacing w:before="0" w:after="0"/>
              <w:jc w:val="left"/>
            </w:pPr>
            <w:r>
              <w:rPr>
                <w:rFonts w:ascii="Archivo" w:hAnsi="Archivo" w:cs="Archivo" w:eastAsia="Archivo"/>
                <w:b w:val="0"/>
                <w:color w:val="0B0D10"/>
                <w:sz w:val="18"/>
              </w:rPr>
              <w:t>Terms prohibit automated querying and collection of results.</w:t>
            </w:r>
          </w:p>
        </w:tc>
        <w:tc>
          <w:tcPr>
            <w:tcW w:type="dxa" w:w="3672"/>
          </w:tcPr>
          <w:p>
            <w:pPr>
              <w:spacing w:before="0" w:after="0"/>
              <w:jc w:val="left"/>
            </w:pPr>
            <w:r>
              <w:rPr>
                <w:rFonts w:ascii="Archivo" w:hAnsi="Archivo" w:cs="Archivo" w:eastAsia="Archivo"/>
                <w:b w:val="0"/>
                <w:color w:val="0B0D10"/>
                <w:sz w:val="18"/>
              </w:rPr>
              <w:t>Manual X-ray searches by a recruiter are fine. Automated collection of results is not.</w:t>
            </w:r>
          </w:p>
        </w:tc>
      </w:tr>
    </w:tbl>
    <w:p>
      <w:pPr>
        <w:spacing w:after="0"/>
      </w:pPr>
    </w:p>
    <w:p>
      <w:pPr>
        <w:pStyle w:val="Heading2"/>
      </w:pPr>
      <w:r>
        <w:t>What the courts have said</w:t>
      </w:r>
    </w:p>
    <w:tbl>
      <w:tblPr>
        <w:tblW w:type="pct" w:w="5000"/>
        <w:jc w:val="left"/>
        <w:tblInd w:type="dxa" w:w="115"/>
        <w:tblBorders>
          <w:top w:val="single" w:sz="4" w:color="8A8F99"/>
          <w:left w:val="nil" w:sz="4" w:color="8A8F99"/>
          <w:bottom w:val="single" w:sz="4" w:color="8A8F99"/>
          <w:right w:val="nil" w:sz="4" w:color="8A8F99"/>
          <w:insideH w:val="single" w:sz="4" w:color="8A8F99"/>
          <w:insideV w:val="nil" w:sz="4" w:color="8A8F99"/>
        </w:tblBorders>
        <w:tblLayout w:type="fixed"/>
        <w:tblCellMar>
          <w:top w:w="72" w:type="dxa"/>
          <w:bottom w:w="72" w:type="dxa"/>
          <w:left w:w="115" w:type="dxa"/>
          <w:right w:w="115" w:type="dxa"/>
        </w:tblCellMar>
        <w:tblLook w:firstColumn="1" w:firstRow="1" w:lastColumn="0" w:lastRow="0" w:noHBand="0" w:noVBand="1" w:val="04A0"/>
      </w:tblPr>
      <w:tblGrid>
        <w:gridCol w:w="1944"/>
        <w:gridCol w:w="1080"/>
        <w:gridCol w:w="3744"/>
        <w:gridCol w:w="2592"/>
      </w:tblGrid>
      <w:tr>
        <w:trPr>
          <w:cantSplit w:val="true"/>
          <w:tblHeader w:val="true"/>
        </w:trPr>
        <w:tc>
          <w:tcPr>
            <w:tcW w:type="dxa" w:w="1944"/>
            <w:shd w:val="clear" w:color="auto" w:fill="171B22"/>
          </w:tcPr>
          <w:p>
            <w:pPr>
              <w:spacing w:before="0" w:after="0"/>
            </w:pPr>
            <w:r>
              <w:rPr>
                <w:rFonts w:ascii="JetBrains Mono" w:hAnsi="JetBrains Mono" w:cs="JetBrains Mono" w:eastAsia="JetBrains Mono"/>
                <w:b w:val="0"/>
                <w:color w:val="EEEDE7"/>
                <w:sz w:val="18"/>
              </w:rPr>
              <w:t>CASE</w:t>
            </w:r>
          </w:p>
        </w:tc>
        <w:tc>
          <w:tcPr>
            <w:tcW w:type="dxa" w:w="1080"/>
            <w:shd w:val="clear" w:color="auto" w:fill="171B22"/>
          </w:tcPr>
          <w:p>
            <w:pPr>
              <w:spacing w:before="0" w:after="0"/>
            </w:pPr>
            <w:r>
              <w:rPr>
                <w:rFonts w:ascii="JetBrains Mono" w:hAnsi="JetBrains Mono" w:cs="JetBrains Mono" w:eastAsia="JetBrains Mono"/>
                <w:b w:val="0"/>
                <w:color w:val="EEEDE7"/>
                <w:sz w:val="18"/>
              </w:rPr>
              <w:t>YEAR</w:t>
            </w:r>
          </w:p>
        </w:tc>
        <w:tc>
          <w:tcPr>
            <w:tcW w:type="dxa" w:w="3744"/>
            <w:shd w:val="clear" w:color="auto" w:fill="171B22"/>
          </w:tcPr>
          <w:p>
            <w:pPr>
              <w:spacing w:before="0" w:after="0"/>
            </w:pPr>
            <w:r>
              <w:rPr>
                <w:rFonts w:ascii="JetBrains Mono" w:hAnsi="JetBrains Mono" w:cs="JetBrains Mono" w:eastAsia="JetBrains Mono"/>
                <w:b w:val="0"/>
                <w:color w:val="EEEDE7"/>
                <w:sz w:val="18"/>
              </w:rPr>
              <w:t>OUTCOME</w:t>
            </w:r>
          </w:p>
        </w:tc>
        <w:tc>
          <w:tcPr>
            <w:tcW w:type="dxa" w:w="2592"/>
            <w:shd w:val="clear" w:color="auto" w:fill="171B22"/>
          </w:tcPr>
          <w:p>
            <w:pPr>
              <w:spacing w:before="0" w:after="0"/>
            </w:pPr>
            <w:r>
              <w:rPr>
                <w:rFonts w:ascii="JetBrains Mono" w:hAnsi="JetBrains Mono" w:cs="JetBrains Mono" w:eastAsia="JetBrains Mono"/>
                <w:b w:val="0"/>
                <w:color w:val="EEEDE7"/>
                <w:sz w:val="18"/>
              </w:rPr>
              <w:t>WHY IT MATTERS</w:t>
            </w:r>
          </w:p>
        </w:tc>
      </w:tr>
      <w:tr>
        <w:trPr>
          <w:cantSplit w:val="true"/>
        </w:trPr>
        <w:tc>
          <w:tcPr>
            <w:tcW w:type="dxa" w:w="1944"/>
          </w:tcPr>
          <w:p>
            <w:pPr>
              <w:spacing w:before="0" w:after="0"/>
              <w:jc w:val="left"/>
            </w:pPr>
            <w:r>
              <w:rPr>
                <w:rFonts w:ascii="Archivo" w:hAnsi="Archivo" w:cs="Archivo" w:eastAsia="Archivo"/>
                <w:b w:val="0"/>
                <w:color w:val="0B0D10"/>
                <w:sz w:val="18"/>
              </w:rPr>
              <w:t>hiQ Labs v. LinkedIn</w:t>
            </w:r>
          </w:p>
        </w:tc>
        <w:tc>
          <w:tcPr>
            <w:tcW w:type="dxa" w:w="1080"/>
          </w:tcPr>
          <w:p>
            <w:pPr>
              <w:spacing w:before="0" w:after="0"/>
              <w:jc w:val="left"/>
            </w:pPr>
            <w:r>
              <w:rPr>
                <w:rFonts w:ascii="Archivo" w:hAnsi="Archivo" w:cs="Archivo" w:eastAsia="Archivo"/>
                <w:b w:val="0"/>
                <w:color w:val="0B0D10"/>
                <w:sz w:val="18"/>
              </w:rPr>
              <w:t>2019 to 2022</w:t>
            </w:r>
          </w:p>
        </w:tc>
        <w:tc>
          <w:tcPr>
            <w:tcW w:type="dxa" w:w="3744"/>
          </w:tcPr>
          <w:p>
            <w:pPr>
              <w:spacing w:before="0" w:after="0"/>
              <w:jc w:val="left"/>
            </w:pPr>
            <w:r>
              <w:rPr>
                <w:rFonts w:ascii="Archivo" w:hAnsi="Archivo" w:cs="Archivo" w:eastAsia="Archivo"/>
                <w:b w:val="0"/>
                <w:color w:val="0B0D10"/>
                <w:sz w:val="18"/>
              </w:rPr>
              <w:t>The Ninth Circuit read the federal Computer Fraud and Abuse Act narrowly for public profiles. In November 2022 the district court found hiQ breached LinkedIn's User Agreement through scraping and fake profiles. December 2022 consent judgment: $500,000, a permanent injunction, and destruction of scraped data, code and algorithms.</w:t>
            </w:r>
          </w:p>
        </w:tc>
        <w:tc>
          <w:tcPr>
            <w:tcW w:type="dxa" w:w="2592"/>
          </w:tcPr>
          <w:p>
            <w:pPr>
              <w:spacing w:before="0" w:after="0"/>
              <w:jc w:val="left"/>
            </w:pPr>
            <w:r>
              <w:rPr>
                <w:rFonts w:ascii="Archivo" w:hAnsi="Archivo" w:cs="Archivo" w:eastAsia="Archivo"/>
                <w:b w:val="0"/>
                <w:color w:val="0B0D10"/>
                <w:sz w:val="18"/>
              </w:rPr>
              <w:t>Even where hacking law may not reach public-data scraping, contract law does. The scraper lost.</w:t>
            </w:r>
          </w:p>
        </w:tc>
      </w:tr>
      <w:tr>
        <w:trPr>
          <w:cantSplit w:val="true"/>
        </w:trPr>
        <w:tc>
          <w:tcPr>
            <w:tcW w:type="dxa" w:w="1944"/>
          </w:tcPr>
          <w:p>
            <w:pPr>
              <w:spacing w:before="0" w:after="0"/>
              <w:jc w:val="left"/>
            </w:pPr>
            <w:r>
              <w:rPr>
                <w:rFonts w:ascii="Archivo" w:hAnsi="Archivo" w:cs="Archivo" w:eastAsia="Archivo"/>
                <w:b w:val="0"/>
                <w:color w:val="0B0D10"/>
                <w:sz w:val="18"/>
              </w:rPr>
              <w:t>Van Buren v. United States</w:t>
            </w:r>
          </w:p>
        </w:tc>
        <w:tc>
          <w:tcPr>
            <w:tcW w:type="dxa" w:w="1080"/>
          </w:tcPr>
          <w:p>
            <w:pPr>
              <w:spacing w:before="0" w:after="0"/>
              <w:jc w:val="left"/>
            </w:pPr>
            <w:r>
              <w:rPr>
                <w:rFonts w:ascii="Archivo" w:hAnsi="Archivo" w:cs="Archivo" w:eastAsia="Archivo"/>
                <w:b w:val="0"/>
                <w:color w:val="0B0D10"/>
                <w:sz w:val="18"/>
              </w:rPr>
              <w:t>2021</w:t>
            </w:r>
          </w:p>
        </w:tc>
        <w:tc>
          <w:tcPr>
            <w:tcW w:type="dxa" w:w="3744"/>
          </w:tcPr>
          <w:p>
            <w:pPr>
              <w:spacing w:before="0" w:after="0"/>
              <w:jc w:val="left"/>
            </w:pPr>
            <w:r>
              <w:rPr>
                <w:rFonts w:ascii="Archivo" w:hAnsi="Archivo" w:cs="Archivo" w:eastAsia="Archivo"/>
                <w:b w:val="0"/>
                <w:color w:val="0B0D10"/>
                <w:sz w:val="18"/>
              </w:rPr>
              <w:t>The Supreme Court narrowed "exceeds authorized access" under the Computer Fraud and Abuse Act.</w:t>
            </w:r>
          </w:p>
        </w:tc>
        <w:tc>
          <w:tcPr>
            <w:tcW w:type="dxa" w:w="2592"/>
          </w:tcPr>
          <w:p>
            <w:pPr>
              <w:spacing w:before="0" w:after="0"/>
              <w:jc w:val="left"/>
            </w:pPr>
            <w:r>
              <w:rPr>
                <w:rFonts w:ascii="Archivo" w:hAnsi="Archivo" w:cs="Archivo" w:eastAsia="Archivo"/>
                <w:b w:val="0"/>
                <w:color w:val="0B0D10"/>
                <w:sz w:val="18"/>
              </w:rPr>
              <w:t>Lowers criminal hacking-law risk for public pages. Does not touch contract, privacy or copyright claims.</w:t>
            </w:r>
          </w:p>
        </w:tc>
      </w:tr>
      <w:tr>
        <w:trPr>
          <w:cantSplit w:val="true"/>
        </w:trPr>
        <w:tc>
          <w:tcPr>
            <w:tcW w:type="dxa" w:w="1944"/>
          </w:tcPr>
          <w:p>
            <w:pPr>
              <w:spacing w:before="0" w:after="0"/>
              <w:jc w:val="left"/>
            </w:pPr>
            <w:r>
              <w:rPr>
                <w:rFonts w:ascii="Archivo" w:hAnsi="Archivo" w:cs="Archivo" w:eastAsia="Archivo"/>
                <w:b w:val="0"/>
                <w:color w:val="0B0D10"/>
                <w:sz w:val="18"/>
              </w:rPr>
              <w:t>Meta v. Bright Data</w:t>
            </w:r>
          </w:p>
        </w:tc>
        <w:tc>
          <w:tcPr>
            <w:tcW w:type="dxa" w:w="1080"/>
          </w:tcPr>
          <w:p>
            <w:pPr>
              <w:spacing w:before="0" w:after="0"/>
              <w:jc w:val="left"/>
            </w:pPr>
            <w:r>
              <w:rPr>
                <w:rFonts w:ascii="Archivo" w:hAnsi="Archivo" w:cs="Archivo" w:eastAsia="Archivo"/>
                <w:b w:val="0"/>
                <w:color w:val="0B0D10"/>
                <w:sz w:val="18"/>
              </w:rPr>
              <w:t>2024</w:t>
            </w:r>
          </w:p>
        </w:tc>
        <w:tc>
          <w:tcPr>
            <w:tcW w:type="dxa" w:w="3744"/>
          </w:tcPr>
          <w:p>
            <w:pPr>
              <w:spacing w:before="0" w:after="0"/>
              <w:jc w:val="left"/>
            </w:pPr>
            <w:r>
              <w:rPr>
                <w:rFonts w:ascii="Archivo" w:hAnsi="Archivo" w:cs="Archivo" w:eastAsia="Archivo"/>
                <w:b w:val="0"/>
                <w:color w:val="0B0D10"/>
                <w:sz w:val="18"/>
              </w:rPr>
              <w:t>The Northern District of California ruled Meta's terms did not bar scraping public data while logged out.</w:t>
            </w:r>
          </w:p>
        </w:tc>
        <w:tc>
          <w:tcPr>
            <w:tcW w:type="dxa" w:w="2592"/>
          </w:tcPr>
          <w:p>
            <w:pPr>
              <w:spacing w:before="0" w:after="0"/>
              <w:jc w:val="left"/>
            </w:pPr>
            <w:r>
              <w:rPr>
                <w:rFonts w:ascii="Archivo" w:hAnsi="Archivo" w:cs="Archivo" w:eastAsia="Archivo"/>
                <w:b w:val="0"/>
                <w:color w:val="0B0D10"/>
                <w:sz w:val="18"/>
              </w:rPr>
              <w:t>Narrow: one company's terms, logged-out access only. Recruiting work happens logged in, where the terms bind.</w:t>
            </w:r>
          </w:p>
        </w:tc>
      </w:tr>
      <w:tr>
        <w:trPr>
          <w:cantSplit w:val="true"/>
        </w:trPr>
        <w:tc>
          <w:tcPr>
            <w:tcW w:type="dxa" w:w="1944"/>
          </w:tcPr>
          <w:p>
            <w:pPr>
              <w:spacing w:before="0" w:after="0"/>
              <w:jc w:val="left"/>
            </w:pPr>
            <w:r>
              <w:rPr>
                <w:rFonts w:ascii="Archivo" w:hAnsi="Archivo" w:cs="Archivo" w:eastAsia="Archivo"/>
                <w:b w:val="0"/>
                <w:color w:val="0B0D10"/>
                <w:sz w:val="18"/>
              </w:rPr>
              <w:t>LinkedIn v. Nubela (Proxycurl)</w:t>
            </w:r>
          </w:p>
        </w:tc>
        <w:tc>
          <w:tcPr>
            <w:tcW w:type="dxa" w:w="1080"/>
          </w:tcPr>
          <w:p>
            <w:pPr>
              <w:spacing w:before="0" w:after="0"/>
              <w:jc w:val="left"/>
            </w:pPr>
            <w:r>
              <w:rPr>
                <w:rFonts w:ascii="Archivo" w:hAnsi="Archivo" w:cs="Archivo" w:eastAsia="Archivo"/>
                <w:b w:val="0"/>
                <w:color w:val="0B0D10"/>
                <w:sz w:val="18"/>
              </w:rPr>
              <w:t>2025</w:t>
            </w:r>
          </w:p>
        </w:tc>
        <w:tc>
          <w:tcPr>
            <w:tcW w:type="dxa" w:w="3744"/>
          </w:tcPr>
          <w:p>
            <w:pPr>
              <w:spacing w:before="0" w:after="0"/>
              <w:jc w:val="left"/>
            </w:pPr>
            <w:r>
              <w:rPr>
                <w:rFonts w:ascii="Archivo" w:hAnsi="Archivo" w:cs="Archivo" w:eastAsia="Archivo"/>
                <w:b w:val="0"/>
                <w:color w:val="0B0D10"/>
                <w:sz w:val="18"/>
              </w:rPr>
              <w:t>LinkedIn sued in January 2025, alleging fake accounts and scraping of millions of profiles. Proxycurl shut down in July 2025.</w:t>
            </w:r>
          </w:p>
        </w:tc>
        <w:tc>
          <w:tcPr>
            <w:tcW w:type="dxa" w:w="2592"/>
          </w:tcPr>
          <w:p>
            <w:pPr>
              <w:spacing w:before="0" w:after="0"/>
              <w:jc w:val="left"/>
            </w:pPr>
            <w:r>
              <w:rPr>
                <w:rFonts w:ascii="Archivo" w:hAnsi="Archivo" w:cs="Archivo" w:eastAsia="Archivo"/>
                <w:b w:val="0"/>
                <w:color w:val="0B0D10"/>
                <w:sz w:val="18"/>
              </w:rPr>
              <w:t>Vendors built on scraped LinkedIn data can disappear overnight, and their customers' pipelines go with them.</w:t>
            </w:r>
          </w:p>
        </w:tc>
      </w:tr>
    </w:tbl>
    <w:p>
      <w:pPr>
        <w:spacing w:after="0"/>
      </w:pPr>
    </w:p>
    <w:p>
      <w:pPr>
        <w:pStyle w:val="Heading2"/>
      </w:pPr>
      <w:r>
        <w:t>Risks to Astrion if it scraped or bought scraped data</w:t>
      </w:r>
    </w:p>
    <w:p>
      <w:pPr>
        <w:pStyle w:val="ListBullet"/>
      </w:pPr>
      <w:r>
        <w:rPr>
          <w:rFonts w:ascii="Archivo" w:hAnsi="Archivo" w:cs="Archivo" w:eastAsia="Archivo"/>
          <w:b/>
          <w:color w:val="0B0D10"/>
        </w:rPr>
        <w:t xml:space="preserve">Contract liability and injunctions, </w:t>
      </w:r>
      <w:r>
        <w:rPr>
          <w:rFonts w:ascii="Archivo" w:hAnsi="Archivo" w:cs="Archivo" w:eastAsia="Archivo"/>
        </w:rPr>
        <w:t>as in hiQ: damages, a court order to stop, and destruction of everything built on the data.</w:t>
      </w:r>
    </w:p>
    <w:p>
      <w:pPr>
        <w:pStyle w:val="ListBullet"/>
      </w:pPr>
      <w:r>
        <w:rPr>
          <w:rFonts w:ascii="Archivo" w:hAnsi="Archivo" w:cs="Archivo" w:eastAsia="Archivo"/>
          <w:b/>
          <w:color w:val="0B0D10"/>
        </w:rPr>
        <w:t xml:space="preserve">Loss of recruiting accounts. </w:t>
      </w:r>
      <w:r>
        <w:rPr>
          <w:rFonts w:ascii="Archivo" w:hAnsi="Archivo" w:cs="Archivo" w:eastAsia="Archivo"/>
        </w:rPr>
        <w:t>LinkedIn restricts accounts it links to automation, which would cost Astrion its Recruiter seats.</w:t>
      </w:r>
    </w:p>
    <w:p>
      <w:pPr>
        <w:pStyle w:val="ListBullet"/>
      </w:pPr>
      <w:r>
        <w:rPr>
          <w:rFonts w:ascii="Archivo" w:hAnsi="Archivo" w:cs="Archivo" w:eastAsia="Archivo"/>
          <w:b/>
          <w:color w:val="0B0D10"/>
        </w:rPr>
        <w:t xml:space="preserve">Vendor collapse. </w:t>
      </w:r>
      <w:r>
        <w:rPr>
          <w:rFonts w:ascii="Archivo" w:hAnsi="Archivo" w:cs="Archivo" w:eastAsia="Archivo"/>
        </w:rPr>
        <w:t>A data source can vanish mid-search, as Proxycurl's customers learned.</w:t>
      </w:r>
    </w:p>
    <w:p>
      <w:pPr>
        <w:pStyle w:val="ListBullet"/>
      </w:pPr>
      <w:r>
        <w:rPr>
          <w:rFonts w:ascii="Archivo" w:hAnsi="Archivo" w:cs="Archivo" w:eastAsia="Archivo"/>
          <w:b/>
          <w:color w:val="0B0D10"/>
        </w:rPr>
        <w:t xml:space="preserve">Privacy obligations. </w:t>
      </w:r>
      <w:r>
        <w:rPr>
          <w:rFonts w:ascii="Archivo" w:hAnsi="Archivo" w:cs="Archivo" w:eastAsia="Archivo"/>
        </w:rPr>
        <w:t>California residents' applicant data carries notice, access and deletion rights under the CCPA, whatever its source.</w:t>
      </w:r>
    </w:p>
    <w:p>
      <w:pPr>
        <w:pStyle w:val="ListBullet"/>
      </w:pPr>
      <w:r>
        <w:rPr>
          <w:rFonts w:ascii="Archivo" w:hAnsi="Archivo" w:cs="Archivo" w:eastAsia="Archivo"/>
          <w:b/>
          <w:color w:val="0B0D10"/>
        </w:rPr>
        <w:t xml:space="preserve">Reputation. </w:t>
      </w:r>
      <w:r>
        <w:rPr>
          <w:rFonts w:ascii="Archivo" w:hAnsi="Archivo" w:cs="Archivo" w:eastAsia="Archivo"/>
        </w:rPr>
        <w:t>The defense software community is small. Candidates and teaming partners notice how they were found.</w:t>
      </w:r>
    </w:p>
    <w:p>
      <w:pPr>
        <w:pStyle w:val="Heading1"/>
      </w:pPr>
      <w:r>
        <w:t>3. How we search these sites legally</w:t>
      </w:r>
    </w:p>
    <w:p>
      <w:r>
        <w:rPr>
          <w:rFonts w:ascii="Archivo" w:hAnsi="Archivo" w:cs="Archivo" w:eastAsia="Archivo"/>
        </w:rPr>
        <w:t>The tool does the parts that need no platform access: it writes the search strings, and it scores what recruiters bring back. Recruiters do the searching inside licensed products, under their own accounts.</w:t>
      </w:r>
    </w:p>
    <w:tbl>
      <w:tblPr>
        <w:tblW w:type="pct" w:w="5000"/>
        <w:jc w:val="left"/>
        <w:tblInd w:type="dxa" w:w="115"/>
        <w:tblBorders>
          <w:top w:val="single" w:sz="4" w:color="8A8F99"/>
          <w:left w:val="nil" w:sz="4" w:color="8A8F99"/>
          <w:bottom w:val="single" w:sz="4" w:color="8A8F99"/>
          <w:right w:val="nil" w:sz="4" w:color="8A8F99"/>
          <w:insideH w:val="single" w:sz="4" w:color="8A8F99"/>
          <w:insideV w:val="nil" w:sz="4" w:color="8A8F99"/>
        </w:tblBorders>
        <w:tblLayout w:type="fixed"/>
        <w:tblCellMar>
          <w:top w:w="72" w:type="dxa"/>
          <w:bottom w:w="72" w:type="dxa"/>
          <w:left w:w="115" w:type="dxa"/>
          <w:right w:w="115" w:type="dxa"/>
        </w:tblCellMar>
        <w:tblLook w:firstColumn="1" w:firstRow="1" w:lastColumn="0" w:lastRow="0" w:noHBand="0" w:noVBand="1" w:val="04A0"/>
      </w:tblPr>
      <w:tblGrid>
        <w:gridCol w:w="2015"/>
        <w:gridCol w:w="2880"/>
        <w:gridCol w:w="4464"/>
      </w:tblGrid>
      <w:tr>
        <w:trPr>
          <w:cantSplit w:val="true"/>
          <w:tblHeader w:val="true"/>
        </w:trPr>
        <w:tc>
          <w:tcPr>
            <w:tcW w:type="dxa" w:w="2016"/>
            <w:shd w:val="clear" w:color="auto" w:fill="171B22"/>
          </w:tcPr>
          <w:p>
            <w:pPr>
              <w:spacing w:before="0" w:after="0"/>
            </w:pPr>
            <w:r>
              <w:rPr>
                <w:rFonts w:ascii="JetBrains Mono" w:hAnsi="JetBrains Mono" w:cs="JetBrains Mono" w:eastAsia="JetBrains Mono"/>
                <w:b w:val="0"/>
                <w:color w:val="EEEDE7"/>
                <w:sz w:val="18"/>
              </w:rPr>
              <w:t>SOURCE</w:t>
            </w:r>
          </w:p>
        </w:tc>
        <w:tc>
          <w:tcPr>
            <w:tcW w:type="dxa" w:w="2880"/>
            <w:shd w:val="clear" w:color="auto" w:fill="171B22"/>
          </w:tcPr>
          <w:p>
            <w:pPr>
              <w:spacing w:before="0" w:after="0"/>
            </w:pPr>
            <w:r>
              <w:rPr>
                <w:rFonts w:ascii="JetBrains Mono" w:hAnsi="JetBrains Mono" w:cs="JetBrains Mono" w:eastAsia="JetBrains Mono"/>
                <w:b w:val="0"/>
                <w:color w:val="EEEDE7"/>
                <w:sz w:val="18"/>
              </w:rPr>
              <w:t>LEGAL ROUTE</w:t>
            </w:r>
          </w:p>
        </w:tc>
        <w:tc>
          <w:tcPr>
            <w:tcW w:type="dxa" w:w="4464"/>
            <w:shd w:val="clear" w:color="auto" w:fill="171B22"/>
          </w:tcPr>
          <w:p>
            <w:pPr>
              <w:spacing w:before="0" w:after="0"/>
            </w:pPr>
            <w:r>
              <w:rPr>
                <w:rFonts w:ascii="JetBrains Mono" w:hAnsi="JetBrains Mono" w:cs="JetBrains Mono" w:eastAsia="JetBrains Mono"/>
                <w:b w:val="0"/>
                <w:color w:val="EEEDE7"/>
                <w:sz w:val="18"/>
              </w:rPr>
              <w:t>HOW IT WORKS WITH THE TOOL</w:t>
            </w:r>
          </w:p>
        </w:tc>
      </w:tr>
      <w:tr>
        <w:trPr>
          <w:cantSplit w:val="true"/>
        </w:trPr>
        <w:tc>
          <w:tcPr>
            <w:tcW w:type="dxa" w:w="2016"/>
          </w:tcPr>
          <w:p>
            <w:pPr>
              <w:spacing w:before="0" w:after="0"/>
              <w:jc w:val="left"/>
            </w:pPr>
            <w:r>
              <w:rPr>
                <w:rFonts w:ascii="Archivo" w:hAnsi="Archivo" w:cs="Archivo" w:eastAsia="Archivo"/>
                <w:b w:val="0"/>
                <w:color w:val="0B0D10"/>
                <w:sz w:val="18"/>
              </w:rPr>
              <w:t>LinkedIn</w:t>
            </w:r>
          </w:p>
        </w:tc>
        <w:tc>
          <w:tcPr>
            <w:tcW w:type="dxa" w:w="2880"/>
          </w:tcPr>
          <w:p>
            <w:pPr>
              <w:spacing w:before="0" w:after="0"/>
              <w:jc w:val="left"/>
            </w:pPr>
            <w:r>
              <w:rPr>
                <w:rFonts w:ascii="Archivo" w:hAnsi="Archivo" w:cs="Archivo" w:eastAsia="Archivo"/>
                <w:b w:val="0"/>
                <w:color w:val="0B0D10"/>
                <w:sz w:val="18"/>
              </w:rPr>
              <w:t>LinkedIn Recruiter seats; the Hiring Assistant add-on for AI search inside LinkedIn; Recruiter System Connect to sync with an approved ATS.</w:t>
            </w:r>
          </w:p>
        </w:tc>
        <w:tc>
          <w:tcPr>
            <w:tcW w:type="dxa" w:w="4464"/>
          </w:tcPr>
          <w:p>
            <w:pPr>
              <w:spacing w:before="0" w:after="0"/>
              <w:jc w:val="left"/>
            </w:pPr>
            <w:r>
              <w:rPr>
                <w:rFonts w:ascii="Archivo" w:hAnsi="Archivo" w:cs="Archivo" w:eastAsia="Archivo"/>
                <w:b w:val="0"/>
                <w:color w:val="0B0D10"/>
                <w:sz w:val="18"/>
              </w:rPr>
              <w:t>Paste the tool's Boolean string and company and title filters into Recruiter. Save results to a project. Move them out only through routes the contract allows (RSC sync to the ATS, or the seat's export functions; confirm in Astrion's contract). Contact through InMail.</w:t>
            </w:r>
          </w:p>
        </w:tc>
      </w:tr>
      <w:tr>
        <w:trPr>
          <w:cantSplit w:val="true"/>
        </w:trPr>
        <w:tc>
          <w:tcPr>
            <w:tcW w:type="dxa" w:w="2016"/>
          </w:tcPr>
          <w:p>
            <w:pPr>
              <w:spacing w:before="0" w:after="0"/>
              <w:jc w:val="left"/>
            </w:pPr>
            <w:r>
              <w:rPr>
                <w:rFonts w:ascii="Archivo" w:hAnsi="Archivo" w:cs="Archivo" w:eastAsia="Archivo"/>
                <w:b w:val="0"/>
                <w:color w:val="0B0D10"/>
                <w:sz w:val="18"/>
              </w:rPr>
              <w:t>ClearanceJobs</w:t>
            </w:r>
          </w:p>
        </w:tc>
        <w:tc>
          <w:tcPr>
            <w:tcW w:type="dxa" w:w="2880"/>
          </w:tcPr>
          <w:p>
            <w:pPr>
              <w:spacing w:before="0" w:after="0"/>
              <w:jc w:val="left"/>
            </w:pPr>
            <w:r>
              <w:rPr>
                <w:rFonts w:ascii="Archivo" w:hAnsi="Archivo" w:cs="Archivo" w:eastAsia="Archivo"/>
                <w:b w:val="0"/>
                <w:color w:val="0B0D10"/>
                <w:sz w:val="18"/>
              </w:rPr>
              <w:t>Recruiter license.</w:t>
            </w:r>
          </w:p>
        </w:tc>
        <w:tc>
          <w:tcPr>
            <w:tcW w:type="dxa" w:w="4464"/>
          </w:tcPr>
          <w:p>
            <w:pPr>
              <w:spacing w:before="0" w:after="0"/>
              <w:jc w:val="left"/>
            </w:pPr>
            <w:r>
              <w:rPr>
                <w:rFonts w:ascii="Archivo" w:hAnsi="Archivo" w:cs="Archivo" w:eastAsia="Archivo"/>
                <w:b w:val="0"/>
                <w:color w:val="0B0D10"/>
                <w:sz w:val="18"/>
              </w:rPr>
              <w:t>Same Boolean strings. Export as the license allows, then upload the file.</w:t>
            </w:r>
          </w:p>
        </w:tc>
      </w:tr>
      <w:tr>
        <w:trPr>
          <w:cantSplit w:val="true"/>
        </w:trPr>
        <w:tc>
          <w:tcPr>
            <w:tcW w:type="dxa" w:w="2016"/>
          </w:tcPr>
          <w:p>
            <w:pPr>
              <w:spacing w:before="0" w:after="0"/>
              <w:jc w:val="left"/>
            </w:pPr>
            <w:r>
              <w:rPr>
                <w:rFonts w:ascii="Archivo" w:hAnsi="Archivo" w:cs="Archivo" w:eastAsia="Archivo"/>
                <w:b w:val="0"/>
                <w:color w:val="0B0D10"/>
                <w:sz w:val="18"/>
              </w:rPr>
              <w:t>Indeed</w:t>
            </w:r>
          </w:p>
        </w:tc>
        <w:tc>
          <w:tcPr>
            <w:tcW w:type="dxa" w:w="2880"/>
          </w:tcPr>
          <w:p>
            <w:pPr>
              <w:spacing w:before="0" w:after="0"/>
              <w:jc w:val="left"/>
            </w:pPr>
            <w:r>
              <w:rPr>
                <w:rFonts w:ascii="Archivo" w:hAnsi="Archivo" w:cs="Archivo" w:eastAsia="Archivo"/>
                <w:b w:val="0"/>
                <w:color w:val="0B0D10"/>
                <w:sz w:val="18"/>
              </w:rPr>
              <w:t>Astrion job postings; Indeed employer sourcing products under an employer agreement.</w:t>
            </w:r>
          </w:p>
        </w:tc>
        <w:tc>
          <w:tcPr>
            <w:tcW w:type="dxa" w:w="4464"/>
          </w:tcPr>
          <w:p>
            <w:pPr>
              <w:spacing w:before="0" w:after="0"/>
              <w:jc w:val="left"/>
            </w:pPr>
            <w:r>
              <w:rPr>
                <w:rFonts w:ascii="Archivo" w:hAnsi="Archivo" w:cs="Archivo" w:eastAsia="Archivo"/>
                <w:b w:val="0"/>
                <w:color w:val="0B0D10"/>
                <w:sz w:val="18"/>
              </w:rPr>
              <w:t>Applicants arrive in the ATS; export from the ATS and upload.</w:t>
            </w:r>
          </w:p>
        </w:tc>
      </w:tr>
      <w:tr>
        <w:trPr>
          <w:cantSplit w:val="true"/>
        </w:trPr>
        <w:tc>
          <w:tcPr>
            <w:tcW w:type="dxa" w:w="2016"/>
          </w:tcPr>
          <w:p>
            <w:pPr>
              <w:spacing w:before="0" w:after="0"/>
              <w:jc w:val="left"/>
            </w:pPr>
            <w:r>
              <w:rPr>
                <w:rFonts w:ascii="Archivo" w:hAnsi="Archivo" w:cs="Archivo" w:eastAsia="Archivo"/>
                <w:b w:val="0"/>
                <w:color w:val="0B0D10"/>
                <w:sz w:val="18"/>
              </w:rPr>
              <w:t>People data vendors (for example People Data Labs)</w:t>
            </w:r>
          </w:p>
        </w:tc>
        <w:tc>
          <w:tcPr>
            <w:tcW w:type="dxa" w:w="2880"/>
          </w:tcPr>
          <w:p>
            <w:pPr>
              <w:spacing w:before="0" w:after="0"/>
              <w:jc w:val="left"/>
            </w:pPr>
            <w:r>
              <w:rPr>
                <w:rFonts w:ascii="Archivo" w:hAnsi="Archivo" w:cs="Archivo" w:eastAsia="Archivo"/>
                <w:b w:val="0"/>
                <w:color w:val="0B0D10"/>
                <w:sz w:val="18"/>
              </w:rPr>
              <w:t>Licensed API under a written contract.</w:t>
            </w:r>
          </w:p>
        </w:tc>
        <w:tc>
          <w:tcPr>
            <w:tcW w:type="dxa" w:w="4464"/>
          </w:tcPr>
          <w:p>
            <w:pPr>
              <w:spacing w:before="0" w:after="0"/>
              <w:jc w:val="left"/>
            </w:pPr>
            <w:r>
              <w:rPr>
                <w:rFonts w:ascii="Archivo" w:hAnsi="Archivo" w:cs="Archivo" w:eastAsia="Archivo"/>
                <w:b w:val="0"/>
                <w:color w:val="0B0D10"/>
                <w:sz w:val="18"/>
              </w:rPr>
              <w:t>Before signing: data provenance (no scraped LinkedIn data), the vendor's FCRA position, deletion duties and indemnity. Upload the vendor's JSON; the tool reads it.</w:t>
            </w:r>
          </w:p>
        </w:tc>
      </w:tr>
      <w:tr>
        <w:trPr>
          <w:cantSplit w:val="true"/>
        </w:trPr>
        <w:tc>
          <w:tcPr>
            <w:tcW w:type="dxa" w:w="2016"/>
          </w:tcPr>
          <w:p>
            <w:pPr>
              <w:spacing w:before="0" w:after="0"/>
              <w:jc w:val="left"/>
            </w:pPr>
            <w:r>
              <w:rPr>
                <w:rFonts w:ascii="Archivo" w:hAnsi="Archivo" w:cs="Archivo" w:eastAsia="Archivo"/>
                <w:b w:val="0"/>
                <w:color w:val="0B0D10"/>
                <w:sz w:val="18"/>
              </w:rPr>
              <w:t>GitHub, conference speaker lists, patents, press releases, company sites</w:t>
            </w:r>
          </w:p>
        </w:tc>
        <w:tc>
          <w:tcPr>
            <w:tcW w:type="dxa" w:w="2880"/>
          </w:tcPr>
          <w:p>
            <w:pPr>
              <w:spacing w:before="0" w:after="0"/>
              <w:jc w:val="left"/>
            </w:pPr>
            <w:r>
              <w:rPr>
                <w:rFonts w:ascii="Archivo" w:hAnsi="Archivo" w:cs="Archivo" w:eastAsia="Archivo"/>
                <w:b w:val="0"/>
                <w:color w:val="0B0D10"/>
                <w:sz w:val="18"/>
              </w:rPr>
              <w:t>Public pages read by a person.</w:t>
            </w:r>
          </w:p>
        </w:tc>
        <w:tc>
          <w:tcPr>
            <w:tcW w:type="dxa" w:w="4464"/>
          </w:tcPr>
          <w:p>
            <w:pPr>
              <w:spacing w:before="0" w:after="0"/>
              <w:jc w:val="left"/>
            </w:pPr>
            <w:r>
              <w:rPr>
                <w:rFonts w:ascii="Archivo" w:hAnsi="Archivo" w:cs="Archivo" w:eastAsia="Archivo"/>
                <w:b w:val="0"/>
                <w:color w:val="0B0D10"/>
                <w:sz w:val="18"/>
              </w:rPr>
              <w:t>Look up individuals by hand and note the URL as the source. No bulk harvesting and no bulk email.</w:t>
            </w:r>
          </w:p>
        </w:tc>
      </w:tr>
      <w:tr>
        <w:trPr>
          <w:cantSplit w:val="true"/>
        </w:trPr>
        <w:tc>
          <w:tcPr>
            <w:tcW w:type="dxa" w:w="2016"/>
          </w:tcPr>
          <w:p>
            <w:pPr>
              <w:spacing w:before="0" w:after="0"/>
              <w:jc w:val="left"/>
            </w:pPr>
            <w:r>
              <w:rPr>
                <w:rFonts w:ascii="Archivo" w:hAnsi="Archivo" w:cs="Archivo" w:eastAsia="Archivo"/>
                <w:b w:val="0"/>
                <w:color w:val="0B0D10"/>
                <w:sz w:val="18"/>
              </w:rPr>
              <w:t>Astrion's own data</w:t>
            </w:r>
          </w:p>
        </w:tc>
        <w:tc>
          <w:tcPr>
            <w:tcW w:type="dxa" w:w="2880"/>
          </w:tcPr>
          <w:p>
            <w:pPr>
              <w:spacing w:before="0" w:after="0"/>
              <w:jc w:val="left"/>
            </w:pPr>
            <w:r>
              <w:rPr>
                <w:rFonts w:ascii="Archivo" w:hAnsi="Archivo" w:cs="Archivo" w:eastAsia="Archivo"/>
                <w:b w:val="0"/>
                <w:color w:val="0B0D10"/>
                <w:sz w:val="18"/>
              </w:rPr>
              <w:t>ATS history, employee referrals, key personnel from past proposals.</w:t>
            </w:r>
          </w:p>
        </w:tc>
        <w:tc>
          <w:tcPr>
            <w:tcW w:type="dxa" w:w="4464"/>
          </w:tcPr>
          <w:p>
            <w:pPr>
              <w:spacing w:before="0" w:after="0"/>
              <w:jc w:val="left"/>
            </w:pPr>
            <w:r>
              <w:rPr>
                <w:rFonts w:ascii="Archivo" w:hAnsi="Archivo" w:cs="Archivo" w:eastAsia="Archivo"/>
                <w:b w:val="0"/>
                <w:color w:val="0B0D10"/>
                <w:sz w:val="18"/>
              </w:rPr>
              <w:t>The strongest source and the one competitors cannot buy. Use within Astrion's applicant privacy notices and retention rules.</w:t>
            </w:r>
          </w:p>
        </w:tc>
      </w:tr>
      <w:tr>
        <w:trPr>
          <w:cantSplit w:val="true"/>
        </w:trPr>
        <w:tc>
          <w:tcPr>
            <w:tcW w:type="dxa" w:w="2016"/>
          </w:tcPr>
          <w:p>
            <w:pPr>
              <w:spacing w:before="0" w:after="0"/>
              <w:jc w:val="left"/>
            </w:pPr>
            <w:r>
              <w:rPr>
                <w:rFonts w:ascii="Archivo" w:hAnsi="Archivo" w:cs="Archivo" w:eastAsia="Archivo"/>
                <w:b w:val="0"/>
                <w:color w:val="0B0D10"/>
                <w:sz w:val="18"/>
              </w:rPr>
              <w:t>Search engines (X-ray search)</w:t>
            </w:r>
          </w:p>
        </w:tc>
        <w:tc>
          <w:tcPr>
            <w:tcW w:type="dxa" w:w="2880"/>
          </w:tcPr>
          <w:p>
            <w:pPr>
              <w:spacing w:before="0" w:after="0"/>
              <w:jc w:val="left"/>
            </w:pPr>
            <w:r>
              <w:rPr>
                <w:rFonts w:ascii="Archivo" w:hAnsi="Archivo" w:cs="Archivo" w:eastAsia="Archivo"/>
                <w:b w:val="0"/>
                <w:color w:val="0B0D10"/>
                <w:sz w:val="18"/>
              </w:rPr>
              <w:t>Manual searches by a recruiter.</w:t>
            </w:r>
          </w:p>
        </w:tc>
        <w:tc>
          <w:tcPr>
            <w:tcW w:type="dxa" w:w="4464"/>
          </w:tcPr>
          <w:p>
            <w:pPr>
              <w:spacing w:before="0" w:after="0"/>
              <w:jc w:val="left"/>
            </w:pPr>
            <w:r>
              <w:rPr>
                <w:rFonts w:ascii="Archivo" w:hAnsi="Archivo" w:cs="Archivo" w:eastAsia="Archivo"/>
                <w:b w:val="0"/>
                <w:color w:val="0B0D10"/>
                <w:sz w:val="18"/>
              </w:rPr>
              <w:t>Allowed by hand. Automated collection of results is not.</w:t>
            </w:r>
          </w:p>
        </w:tc>
      </w:tr>
    </w:tbl>
    <w:p>
      <w:pPr>
        <w:spacing w:after="0"/>
      </w:pPr>
    </w:p>
    <w:p>
      <w:pPr>
        <w:pStyle w:val="Heading2"/>
      </w:pPr>
      <w:r>
        <w:t>The lawful workflow</w:t>
      </w:r>
    </w:p>
    <w:p>
      <w:pPr>
        <w:tabs>
          <w:tab w:pos="432" w:val="left"/>
        </w:tabs>
        <w:spacing w:after="80"/>
        <w:ind w:left="432" w:hanging="432"/>
      </w:pPr>
      <w:r>
        <w:rPr>
          <w:rFonts w:ascii="Archivo" w:hAnsi="Archivo" w:cs="Archivo" w:eastAsia="Archivo"/>
        </w:rPr>
        <w:t>1.</w:t>
        <w:tab/>
      </w:r>
      <w:r>
        <w:rPr>
          <w:rFonts w:ascii="Archivo" w:hAnsi="Archivo" w:cs="Archivo" w:eastAsia="Archivo"/>
        </w:rPr>
        <w:t>A hiring manager approves the rubric in the tool.</w:t>
      </w:r>
    </w:p>
    <w:p>
      <w:pPr>
        <w:tabs>
          <w:tab w:pos="432" w:val="left"/>
        </w:tabs>
        <w:spacing w:after="80"/>
        <w:ind w:left="432" w:hanging="432"/>
      </w:pPr>
      <w:r>
        <w:rPr>
          <w:rFonts w:ascii="Archivo" w:hAnsi="Archivo" w:cs="Archivo" w:eastAsia="Archivo"/>
        </w:rPr>
        <w:t>2.</w:t>
        <w:tab/>
      </w:r>
      <w:r>
        <w:rPr>
          <w:rFonts w:ascii="Archivo" w:hAnsi="Archivo" w:cs="Archivo" w:eastAsia="Archivo"/>
        </w:rPr>
        <w:t>The tool generates Boolean strings and company and title filters.</w:t>
      </w:r>
    </w:p>
    <w:p>
      <w:pPr>
        <w:tabs>
          <w:tab w:pos="432" w:val="left"/>
        </w:tabs>
        <w:spacing w:after="80"/>
        <w:ind w:left="432" w:hanging="432"/>
      </w:pPr>
      <w:r>
        <w:rPr>
          <w:rFonts w:ascii="Archivo" w:hAnsi="Archivo" w:cs="Archivo" w:eastAsia="Archivo"/>
        </w:rPr>
        <w:t>3.</w:t>
        <w:tab/>
      </w:r>
      <w:r>
        <w:rPr>
          <w:rFonts w:ascii="Archivo" w:hAnsi="Archivo" w:cs="Archivo" w:eastAsia="Archivo"/>
        </w:rPr>
        <w:t>A recruiter runs them inside LinkedIn Recruiter or ClearanceJobs under Astrion's licensed seats.</w:t>
      </w:r>
    </w:p>
    <w:p>
      <w:pPr>
        <w:tabs>
          <w:tab w:pos="432" w:val="left"/>
        </w:tabs>
        <w:spacing w:after="80"/>
        <w:ind w:left="432" w:hanging="432"/>
      </w:pPr>
      <w:r>
        <w:rPr>
          <w:rFonts w:ascii="Archivo" w:hAnsi="Archivo" w:cs="Archivo" w:eastAsia="Archivo"/>
        </w:rPr>
        <w:t>4.</w:t>
        <w:tab/>
      </w:r>
      <w:r>
        <w:rPr>
          <w:rFonts w:ascii="Archivo" w:hAnsi="Archivo" w:cs="Archivo" w:eastAsia="Archivo"/>
        </w:rPr>
        <w:t>The recruiter exports or syncs results through the routes each license allows.</w:t>
      </w:r>
    </w:p>
    <w:p>
      <w:pPr>
        <w:tabs>
          <w:tab w:pos="432" w:val="left"/>
        </w:tabs>
        <w:spacing w:after="80"/>
        <w:ind w:left="432" w:hanging="432"/>
      </w:pPr>
      <w:r>
        <w:rPr>
          <w:rFonts w:ascii="Archivo" w:hAnsi="Archivo" w:cs="Archivo" w:eastAsia="Archivo"/>
        </w:rPr>
        <w:t>5.</w:t>
        <w:tab/>
      </w:r>
      <w:r>
        <w:rPr>
          <w:rFonts w:ascii="Archivo" w:hAnsi="Archivo" w:cs="Archivo" w:eastAsia="Archivo"/>
        </w:rPr>
        <w:t>The recruiter uploads the file. The tool scores each candidate with quoted, verified evidence.</w:t>
      </w:r>
    </w:p>
    <w:p>
      <w:pPr>
        <w:tabs>
          <w:tab w:pos="432" w:val="left"/>
        </w:tabs>
        <w:spacing w:after="80"/>
        <w:ind w:left="432" w:hanging="432"/>
      </w:pPr>
      <w:r>
        <w:rPr>
          <w:rFonts w:ascii="Archivo" w:hAnsi="Archivo" w:cs="Archivo" w:eastAsia="Archivo"/>
        </w:rPr>
        <w:t>6.</w:t>
        <w:tab/>
      </w:r>
      <w:r>
        <w:rPr>
          <w:rFonts w:ascii="Archivo" w:hAnsi="Archivo" w:cs="Archivo" w:eastAsia="Archivo"/>
        </w:rPr>
        <w:t>The recruiter reviews the slate and contacts chosen candidates individually.</w:t>
      </w:r>
    </w:p>
    <w:p>
      <w:pPr>
        <w:pStyle w:val="Heading1"/>
      </w:pPr>
      <w:r>
        <w:t>4. Employment law that applies to AI ranking</w:t>
      </w:r>
    </w:p>
    <w:p>
      <w:pPr>
        <w:pStyle w:val="Heading2"/>
      </w:pPr>
      <w:r>
        <w:t>Federal</w:t>
      </w:r>
    </w:p>
    <w:p>
      <w:pPr>
        <w:pStyle w:val="ListBullet"/>
      </w:pPr>
      <w:r>
        <w:rPr>
          <w:rFonts w:ascii="Archivo" w:hAnsi="Archivo" w:cs="Archivo" w:eastAsia="Archivo"/>
          <w:b/>
          <w:color w:val="0B0D10"/>
        </w:rPr>
        <w:t xml:space="preserve">Title VII, ADEA and ADA. </w:t>
      </w:r>
      <w:r>
        <w:rPr>
          <w:rFonts w:ascii="Archivo" w:hAnsi="Archivo" w:cs="Archivo" w:eastAsia="Archivo"/>
        </w:rPr>
        <w:t>Disparate impact applies to any selection procedure, including AI-assisted sourcing. The Uniform Guidelines' four-fifths rule is the usual first screen. The EEOC withdrew its AI technical assistance documents in January 2025; the statutes did not change.</w:t>
      </w:r>
    </w:p>
    <w:p>
      <w:pPr>
        <w:pStyle w:val="ListBullet"/>
      </w:pPr>
      <w:r>
        <w:rPr>
          <w:rFonts w:ascii="Archivo" w:hAnsi="Archivo" w:cs="Archivo" w:eastAsia="Archivo"/>
          <w:b/>
          <w:color w:val="0B0D10"/>
        </w:rPr>
        <w:t xml:space="preserve">Federal contractor rules. </w:t>
      </w:r>
      <w:r>
        <w:rPr>
          <w:rFonts w:ascii="Archivo" w:hAnsi="Archivo" w:cs="Archivo" w:eastAsia="Archivo"/>
        </w:rPr>
        <w:t>Executive Order 11246 affirmative action obligations were rescinded in January 2025. Section 503 (disability) and VEVRAA (veterans) obligations remain.</w:t>
      </w:r>
    </w:p>
    <w:p>
      <w:pPr>
        <w:pStyle w:val="ListBullet"/>
      </w:pPr>
      <w:r>
        <w:rPr>
          <w:rFonts w:ascii="Archivo" w:hAnsi="Archivo" w:cs="Archivo" w:eastAsia="Archivo"/>
          <w:b/>
          <w:color w:val="0B0D10"/>
        </w:rPr>
        <w:t xml:space="preserve">Fair Credit Reporting Act. </w:t>
      </w:r>
      <w:r>
        <w:rPr>
          <w:rFonts w:ascii="Archivo" w:hAnsi="Archivo" w:cs="Archivo" w:eastAsia="Archivo"/>
        </w:rPr>
        <w:t>A data vendor whose reports are used to decide a candidate's eligibility may be a consumer reporting agency, which brings disclosure, authorization and adverse-action duties. Keep the tool in a sourcing role and get each vendor's FCRA position in writing.</w:t>
      </w:r>
    </w:p>
    <w:p>
      <w:pPr>
        <w:pStyle w:val="ListBullet"/>
      </w:pPr>
      <w:r>
        <w:rPr>
          <w:rFonts w:ascii="Archivo" w:hAnsi="Archivo" w:cs="Archivo" w:eastAsia="Archivo"/>
          <w:b/>
          <w:color w:val="0B0D10"/>
        </w:rPr>
        <w:t xml:space="preserve">Federal pressure on state AI laws. </w:t>
      </w:r>
      <w:r>
        <w:rPr>
          <w:rFonts w:ascii="Archivo" w:hAnsi="Archivo" w:cs="Archivo" w:eastAsia="Archivo"/>
        </w:rPr>
        <w:t>A 2025 executive order directs the Justice Department to challenge some state AI laws (confirm current status). Until a court rules, the state laws below stand.</w:t>
      </w:r>
    </w:p>
    <w:p>
      <w:pPr>
        <w:pStyle w:val="Heading2"/>
      </w:pPr>
      <w:r>
        <w:t>State and local</w:t>
      </w:r>
    </w:p>
    <w:tbl>
      <w:tblPr>
        <w:tblW w:type="pct" w:w="5000"/>
        <w:jc w:val="left"/>
        <w:tblInd w:type="dxa" w:w="115"/>
        <w:tblBorders>
          <w:top w:val="single" w:sz="4" w:color="8A8F99"/>
          <w:left w:val="nil" w:sz="4" w:color="8A8F99"/>
          <w:bottom w:val="single" w:sz="4" w:color="8A8F99"/>
          <w:right w:val="nil" w:sz="4" w:color="8A8F99"/>
          <w:insideH w:val="single" w:sz="4" w:color="8A8F99"/>
          <w:insideV w:val="nil" w:sz="4" w:color="8A8F99"/>
        </w:tblBorders>
        <w:tblLayout w:type="fixed"/>
        <w:tblCellMar>
          <w:top w:w="72" w:type="dxa"/>
          <w:bottom w:w="72" w:type="dxa"/>
          <w:left w:w="115" w:type="dxa"/>
          <w:right w:w="115" w:type="dxa"/>
        </w:tblCellMar>
        <w:tblLook w:firstColumn="1" w:firstRow="1" w:lastColumn="0" w:lastRow="0" w:noHBand="0" w:noVBand="1" w:val="04A0"/>
      </w:tblPr>
      <w:tblGrid>
        <w:gridCol w:w="1728"/>
        <w:gridCol w:w="2304"/>
        <w:gridCol w:w="3168"/>
        <w:gridCol w:w="2160"/>
      </w:tblGrid>
      <w:tr>
        <w:trPr>
          <w:cantSplit w:val="true"/>
          <w:tblHeader w:val="true"/>
        </w:trPr>
        <w:tc>
          <w:tcPr>
            <w:tcW w:type="dxa" w:w="1728"/>
            <w:shd w:val="clear" w:color="auto" w:fill="171B22"/>
          </w:tcPr>
          <w:p>
            <w:pPr>
              <w:spacing w:before="0" w:after="0"/>
            </w:pPr>
            <w:r>
              <w:rPr>
                <w:rFonts w:ascii="JetBrains Mono" w:hAnsi="JetBrains Mono" w:cs="JetBrains Mono" w:eastAsia="JetBrains Mono"/>
                <w:b w:val="0"/>
                <w:color w:val="EEEDE7"/>
                <w:sz w:val="18"/>
              </w:rPr>
              <w:t>JURISDICTION</w:t>
            </w:r>
          </w:p>
        </w:tc>
        <w:tc>
          <w:tcPr>
            <w:tcW w:type="dxa" w:w="2304"/>
            <w:shd w:val="clear" w:color="auto" w:fill="171B22"/>
          </w:tcPr>
          <w:p>
            <w:pPr>
              <w:spacing w:before="0" w:after="0"/>
            </w:pPr>
            <w:r>
              <w:rPr>
                <w:rFonts w:ascii="JetBrains Mono" w:hAnsi="JetBrains Mono" w:cs="JetBrains Mono" w:eastAsia="JetBrains Mono"/>
                <w:b w:val="0"/>
                <w:color w:val="EEEDE7"/>
                <w:sz w:val="18"/>
              </w:rPr>
              <w:t>LAW AND STATUS</w:t>
            </w:r>
          </w:p>
        </w:tc>
        <w:tc>
          <w:tcPr>
            <w:tcW w:type="dxa" w:w="3168"/>
            <w:shd w:val="clear" w:color="auto" w:fill="171B22"/>
          </w:tcPr>
          <w:p>
            <w:pPr>
              <w:spacing w:before="0" w:after="0"/>
            </w:pPr>
            <w:r>
              <w:rPr>
                <w:rFonts w:ascii="JetBrains Mono" w:hAnsi="JetBrains Mono" w:cs="JetBrains Mono" w:eastAsia="JetBrains Mono"/>
                <w:b w:val="0"/>
                <w:color w:val="EEEDE7"/>
                <w:sz w:val="18"/>
              </w:rPr>
              <w:t>WHAT IT REQUIRES</w:t>
            </w:r>
          </w:p>
        </w:tc>
        <w:tc>
          <w:tcPr>
            <w:tcW w:type="dxa" w:w="2160"/>
            <w:shd w:val="clear" w:color="auto" w:fill="171B22"/>
          </w:tcPr>
          <w:p>
            <w:pPr>
              <w:spacing w:before="0" w:after="0"/>
            </w:pPr>
            <w:r>
              <w:rPr>
                <w:rFonts w:ascii="JetBrains Mono" w:hAnsi="JetBrains Mono" w:cs="JetBrains Mono" w:eastAsia="JetBrains Mono"/>
                <w:b w:val="0"/>
                <w:color w:val="EEEDE7"/>
                <w:sz w:val="18"/>
              </w:rPr>
              <w:t>HOW THE TOOL HELPS</w:t>
            </w:r>
          </w:p>
        </w:tc>
      </w:tr>
      <w:tr>
        <w:trPr>
          <w:cantSplit w:val="true"/>
        </w:trPr>
        <w:tc>
          <w:tcPr>
            <w:tcW w:type="dxa" w:w="1728"/>
          </w:tcPr>
          <w:p>
            <w:pPr>
              <w:spacing w:before="0" w:after="0"/>
              <w:jc w:val="left"/>
            </w:pPr>
            <w:r>
              <w:rPr>
                <w:rFonts w:ascii="Archivo" w:hAnsi="Archivo" w:cs="Archivo" w:eastAsia="Archivo"/>
                <w:b w:val="0"/>
                <w:color w:val="0B0D10"/>
                <w:sz w:val="18"/>
              </w:rPr>
              <w:t>Illinois</w:t>
            </w:r>
          </w:p>
        </w:tc>
        <w:tc>
          <w:tcPr>
            <w:tcW w:type="dxa" w:w="2304"/>
          </w:tcPr>
          <w:p>
            <w:pPr>
              <w:spacing w:before="0" w:after="0"/>
              <w:jc w:val="left"/>
            </w:pPr>
            <w:r>
              <w:rPr>
                <w:rFonts w:ascii="Archivo" w:hAnsi="Archivo" w:cs="Archivo" w:eastAsia="Archivo"/>
                <w:b w:val="0"/>
                <w:color w:val="0B0D10"/>
                <w:sz w:val="18"/>
              </w:rPr>
              <w:t>HB 3773, amending the Illinois Human Rights Act. In effect since January 1, 2026. Applies with one Illinois employee.</w:t>
            </w:r>
          </w:p>
        </w:tc>
        <w:tc>
          <w:tcPr>
            <w:tcW w:type="dxa" w:w="3168"/>
          </w:tcPr>
          <w:p>
            <w:pPr>
              <w:spacing w:before="0" w:after="0"/>
              <w:jc w:val="left"/>
            </w:pPr>
            <w:r>
              <w:rPr>
                <w:rFonts w:ascii="Archivo" w:hAnsi="Archivo" w:cs="Archivo" w:eastAsia="Archivo"/>
                <w:b w:val="0"/>
                <w:color w:val="0B0D10"/>
                <w:sz w:val="18"/>
              </w:rPr>
              <w:t>No AI use with a discriminatory effect; no zip codes as a proxy for protected classes; notice when AI is used in employment decisions. Notice rules from the Department of Human Rights are unsettled (confirm).</w:t>
            </w:r>
          </w:p>
        </w:tc>
        <w:tc>
          <w:tcPr>
            <w:tcW w:type="dxa" w:w="2160"/>
          </w:tcPr>
          <w:p>
            <w:pPr>
              <w:spacing w:before="0" w:after="0"/>
              <w:jc w:val="left"/>
            </w:pPr>
            <w:r>
              <w:rPr>
                <w:rFonts w:ascii="Archivo" w:hAnsi="Archivo" w:cs="Archivo" w:eastAsia="Archivo"/>
                <w:b w:val="0"/>
                <w:color w:val="0B0D10"/>
                <w:sz w:val="18"/>
              </w:rPr>
              <w:t>Scoring never sees location. Ranking is in code. Add AI-use notice language to postings and outreach.</w:t>
            </w:r>
          </w:p>
        </w:tc>
      </w:tr>
      <w:tr>
        <w:trPr>
          <w:cantSplit w:val="true"/>
        </w:trPr>
        <w:tc>
          <w:tcPr>
            <w:tcW w:type="dxa" w:w="1728"/>
          </w:tcPr>
          <w:p>
            <w:pPr>
              <w:spacing w:before="0" w:after="0"/>
              <w:jc w:val="left"/>
            </w:pPr>
            <w:r>
              <w:rPr>
                <w:rFonts w:ascii="Archivo" w:hAnsi="Archivo" w:cs="Archivo" w:eastAsia="Archivo"/>
                <w:b w:val="0"/>
                <w:color w:val="0B0D10"/>
                <w:sz w:val="18"/>
              </w:rPr>
              <w:t>California</w:t>
            </w:r>
          </w:p>
        </w:tc>
        <w:tc>
          <w:tcPr>
            <w:tcW w:type="dxa" w:w="2304"/>
          </w:tcPr>
          <w:p>
            <w:pPr>
              <w:spacing w:before="0" w:after="0"/>
              <w:jc w:val="left"/>
            </w:pPr>
            <w:r>
              <w:rPr>
                <w:rFonts w:ascii="Archivo" w:hAnsi="Archivo" w:cs="Archivo" w:eastAsia="Archivo"/>
                <w:b w:val="0"/>
                <w:color w:val="0B0D10"/>
                <w:sz w:val="18"/>
              </w:rPr>
              <w:t>Civil Rights Council automated-decision regulations, in effect since October 1, 2025.</w:t>
            </w:r>
          </w:p>
        </w:tc>
        <w:tc>
          <w:tcPr>
            <w:tcW w:type="dxa" w:w="3168"/>
          </w:tcPr>
          <w:p>
            <w:pPr>
              <w:spacing w:before="0" w:after="0"/>
              <w:jc w:val="left"/>
            </w:pPr>
            <w:r>
              <w:rPr>
                <w:rFonts w:ascii="Archivo" w:hAnsi="Archivo" w:cs="Archivo" w:eastAsia="Archivo"/>
                <w:b w:val="0"/>
                <w:color w:val="0B0D10"/>
                <w:sz w:val="18"/>
              </w:rPr>
              <w:t>Discrimination through automated decision systems is prohibited; anti-bias testing weighs in an employer's defense; records kept four years.</w:t>
            </w:r>
          </w:p>
        </w:tc>
        <w:tc>
          <w:tcPr>
            <w:tcW w:type="dxa" w:w="2160"/>
          </w:tcPr>
          <w:p>
            <w:pPr>
              <w:spacing w:before="0" w:after="0"/>
              <w:jc w:val="left"/>
            </w:pPr>
            <w:r>
              <w:rPr>
                <w:rFonts w:ascii="Archivo" w:hAnsi="Archivo" w:cs="Archivo" w:eastAsia="Archivo"/>
                <w:b w:val="0"/>
                <w:color w:val="0B0D10"/>
                <w:sz w:val="18"/>
              </w:rPr>
              <w:t>Audit log, rubric versions, approvers and CSV export support the record. Set retention to four years for California roles.</w:t>
            </w:r>
          </w:p>
        </w:tc>
      </w:tr>
      <w:tr>
        <w:trPr>
          <w:cantSplit w:val="true"/>
        </w:trPr>
        <w:tc>
          <w:tcPr>
            <w:tcW w:type="dxa" w:w="1728"/>
          </w:tcPr>
          <w:p>
            <w:pPr>
              <w:spacing w:before="0" w:after="0"/>
              <w:jc w:val="left"/>
            </w:pPr>
            <w:r>
              <w:rPr>
                <w:rFonts w:ascii="Archivo" w:hAnsi="Archivo" w:cs="Archivo" w:eastAsia="Archivo"/>
                <w:b w:val="0"/>
                <w:color w:val="0B0D10"/>
                <w:sz w:val="18"/>
              </w:rPr>
              <w:t>California</w:t>
            </w:r>
          </w:p>
        </w:tc>
        <w:tc>
          <w:tcPr>
            <w:tcW w:type="dxa" w:w="2304"/>
          </w:tcPr>
          <w:p>
            <w:pPr>
              <w:spacing w:before="0" w:after="0"/>
              <w:jc w:val="left"/>
            </w:pPr>
            <w:r>
              <w:rPr>
                <w:rFonts w:ascii="Archivo" w:hAnsi="Archivo" w:cs="Archivo" w:eastAsia="Archivo"/>
                <w:b w:val="0"/>
                <w:color w:val="0B0D10"/>
                <w:sz w:val="18"/>
              </w:rPr>
              <w:t>CCPA, as amended by the CPRA. Applicant data covered since January 1, 2023.</w:t>
            </w:r>
          </w:p>
        </w:tc>
        <w:tc>
          <w:tcPr>
            <w:tcW w:type="dxa" w:w="3168"/>
          </w:tcPr>
          <w:p>
            <w:pPr>
              <w:spacing w:before="0" w:after="0"/>
              <w:jc w:val="left"/>
            </w:pPr>
            <w:r>
              <w:rPr>
                <w:rFonts w:ascii="Archivo" w:hAnsi="Archivo" w:cs="Archivo" w:eastAsia="Archivo"/>
                <w:b w:val="0"/>
                <w:color w:val="0B0D10"/>
                <w:sz w:val="18"/>
              </w:rPr>
              <w:t>Notice at collection; access and deletion rights for California residents.</w:t>
            </w:r>
          </w:p>
        </w:tc>
        <w:tc>
          <w:tcPr>
            <w:tcW w:type="dxa" w:w="2160"/>
          </w:tcPr>
          <w:p>
            <w:pPr>
              <w:spacing w:before="0" w:after="0"/>
              <w:jc w:val="left"/>
            </w:pPr>
            <w:r>
              <w:rPr>
                <w:rFonts w:ascii="Archivo" w:hAnsi="Archivo" w:cs="Archivo" w:eastAsia="Archivo"/>
                <w:b w:val="0"/>
                <w:color w:val="0B0D10"/>
                <w:sz w:val="18"/>
              </w:rPr>
              <w:t>Delete searches on request; retention purge.</w:t>
            </w:r>
          </w:p>
        </w:tc>
      </w:tr>
      <w:tr>
        <w:trPr>
          <w:cantSplit w:val="true"/>
        </w:trPr>
        <w:tc>
          <w:tcPr>
            <w:tcW w:type="dxa" w:w="1728"/>
          </w:tcPr>
          <w:p>
            <w:pPr>
              <w:spacing w:before="0" w:after="0"/>
              <w:jc w:val="left"/>
            </w:pPr>
            <w:r>
              <w:rPr>
                <w:rFonts w:ascii="Archivo" w:hAnsi="Archivo" w:cs="Archivo" w:eastAsia="Archivo"/>
                <w:b w:val="0"/>
                <w:color w:val="0B0D10"/>
                <w:sz w:val="18"/>
              </w:rPr>
              <w:t>New York City</w:t>
            </w:r>
          </w:p>
        </w:tc>
        <w:tc>
          <w:tcPr>
            <w:tcW w:type="dxa" w:w="2304"/>
          </w:tcPr>
          <w:p>
            <w:pPr>
              <w:spacing w:before="0" w:after="0"/>
              <w:jc w:val="left"/>
            </w:pPr>
            <w:r>
              <w:rPr>
                <w:rFonts w:ascii="Archivo" w:hAnsi="Archivo" w:cs="Archivo" w:eastAsia="Archivo"/>
                <w:b w:val="0"/>
                <w:color w:val="0B0D10"/>
                <w:sz w:val="18"/>
              </w:rPr>
              <w:t>Local Law 144, enforced since July 5, 2023.</w:t>
            </w:r>
          </w:p>
        </w:tc>
        <w:tc>
          <w:tcPr>
            <w:tcW w:type="dxa" w:w="3168"/>
          </w:tcPr>
          <w:p>
            <w:pPr>
              <w:spacing w:before="0" w:after="0"/>
              <w:jc w:val="left"/>
            </w:pPr>
            <w:r>
              <w:rPr>
                <w:rFonts w:ascii="Archivo" w:hAnsi="Archivo" w:cs="Archivo" w:eastAsia="Archivo"/>
                <w:b w:val="0"/>
                <w:color w:val="0B0D10"/>
                <w:sz w:val="18"/>
              </w:rPr>
              <w:t>For automated employment decision tools used for New York City roles: an independent bias audit within the prior year, a published summary, and notice at least 10 business days before use.</w:t>
            </w:r>
          </w:p>
        </w:tc>
        <w:tc>
          <w:tcPr>
            <w:tcW w:type="dxa" w:w="2160"/>
          </w:tcPr>
          <w:p>
            <w:pPr>
              <w:spacing w:before="0" w:after="0"/>
              <w:jc w:val="left"/>
            </w:pPr>
            <w:r>
              <w:rPr>
                <w:rFonts w:ascii="Archivo" w:hAnsi="Archivo" w:cs="Archivo" w:eastAsia="Archivo"/>
                <w:b w:val="0"/>
                <w:color w:val="0B0D10"/>
                <w:sz w:val="18"/>
              </w:rPr>
              <w:t>Do not use the tool for New York City roles until counsel decides whether it is covered and, if so, an audit is done.</w:t>
            </w:r>
          </w:p>
        </w:tc>
      </w:tr>
      <w:tr>
        <w:trPr>
          <w:cantSplit w:val="true"/>
        </w:trPr>
        <w:tc>
          <w:tcPr>
            <w:tcW w:type="dxa" w:w="1728"/>
          </w:tcPr>
          <w:p>
            <w:pPr>
              <w:spacing w:before="0" w:after="0"/>
              <w:jc w:val="left"/>
            </w:pPr>
            <w:r>
              <w:rPr>
                <w:rFonts w:ascii="Archivo" w:hAnsi="Archivo" w:cs="Archivo" w:eastAsia="Archivo"/>
                <w:b w:val="0"/>
                <w:color w:val="0B0D10"/>
                <w:sz w:val="18"/>
              </w:rPr>
              <w:t>Colorado</w:t>
            </w:r>
          </w:p>
        </w:tc>
        <w:tc>
          <w:tcPr>
            <w:tcW w:type="dxa" w:w="2304"/>
          </w:tcPr>
          <w:p>
            <w:pPr>
              <w:spacing w:before="0" w:after="0"/>
              <w:jc w:val="left"/>
            </w:pPr>
            <w:r>
              <w:rPr>
                <w:rFonts w:ascii="Archivo" w:hAnsi="Archivo" w:cs="Archivo" w:eastAsia="Archivo"/>
                <w:b w:val="0"/>
                <w:color w:val="0B0D10"/>
                <w:sz w:val="18"/>
              </w:rPr>
              <w:t>SB 26-189 replaced the original AI Act. Effective January 1, 2027; enforcement tied up in federal litigation.</w:t>
            </w:r>
          </w:p>
        </w:tc>
        <w:tc>
          <w:tcPr>
            <w:tcW w:type="dxa" w:w="3168"/>
          </w:tcPr>
          <w:p>
            <w:pPr>
              <w:spacing w:before="0" w:after="0"/>
              <w:jc w:val="left"/>
            </w:pPr>
            <w:r>
              <w:rPr>
                <w:rFonts w:ascii="Archivo" w:hAnsi="Archivo" w:cs="Archivo" w:eastAsia="Archivo"/>
                <w:b w:val="0"/>
                <w:color w:val="0B0D10"/>
                <w:sz w:val="18"/>
              </w:rPr>
              <w:t>Narrower duties for automated decision technology used in consequential decisions.</w:t>
            </w:r>
          </w:p>
        </w:tc>
        <w:tc>
          <w:tcPr>
            <w:tcW w:type="dxa" w:w="2160"/>
          </w:tcPr>
          <w:p>
            <w:pPr>
              <w:spacing w:before="0" w:after="0"/>
              <w:jc w:val="left"/>
            </w:pPr>
            <w:r>
              <w:rPr>
                <w:rFonts w:ascii="Archivo" w:hAnsi="Archivo" w:cs="Archivo" w:eastAsia="Archivo"/>
                <w:b w:val="0"/>
                <w:color w:val="0B0D10"/>
                <w:sz w:val="18"/>
              </w:rPr>
              <w:t>Watch item. Revisit before January 2027.</w:t>
            </w:r>
          </w:p>
        </w:tc>
      </w:tr>
    </w:tbl>
    <w:p>
      <w:pPr>
        <w:spacing w:after="0"/>
      </w:pPr>
    </w:p>
    <w:p>
      <w:pPr>
        <w:pStyle w:val="Heading1"/>
      </w:pPr>
      <w:r>
        <w:t>5. Defense-specific concerns</w:t>
      </w:r>
    </w:p>
    <w:p>
      <w:pPr>
        <w:pStyle w:val="ListBullet"/>
      </w:pPr>
      <w:r>
        <w:rPr>
          <w:rFonts w:ascii="Archivo" w:hAnsi="Archivo" w:cs="Archivo" w:eastAsia="Archivo"/>
          <w:b/>
          <w:color w:val="0B0D10"/>
        </w:rPr>
        <w:t xml:space="preserve">Non-solicits and antitrust. </w:t>
      </w:r>
      <w:r>
        <w:rPr>
          <w:rFonts w:ascii="Archivo" w:hAnsi="Archivo" w:cs="Archivo" w:eastAsia="Archivo"/>
        </w:rPr>
        <w:t>Teaming agreements and subcontracts often bar soliciting the partner's staff. Honor them through the tool's do-not-target list, which only Editors can change. Do not go further: agreements between competitors not to recruit each other's people (no-poach) are treated as per se illegal by the Justice Department and FTC (2016 guidance, restated in their January 2025 worker guidelines; the current enforcement posture is unclear). A non-solicit is defensible when it is part of a real collaboration and reasonably narrow. Counsel should approve the basis for every list entry.</w:t>
      </w:r>
    </w:p>
    <w:p>
      <w:pPr>
        <w:pStyle w:val="ListBullet"/>
      </w:pPr>
      <w:r>
        <w:rPr>
          <w:rFonts w:ascii="Archivo" w:hAnsi="Archivo" w:cs="Archivo" w:eastAsia="Archivo"/>
          <w:b/>
          <w:color w:val="0B0D10"/>
        </w:rPr>
        <w:t xml:space="preserve">Recruiting current federal employees and service members. </w:t>
      </w:r>
      <w:r>
        <w:rPr>
          <w:rFonts w:ascii="Archivo" w:hAnsi="Archivo" w:cs="Archivo" w:eastAsia="Archivo"/>
        </w:rPr>
        <w:t>Software factory leaders often work at Kessel Run, Platform One and similar units. A federal employee who is seeking outside employment must recuse from matters affecting the prospective employer (5 CFR 2635, subpart F). An official participating in a procurement must report employment contacts from a bidder (Procurement Integrity Act, 41 U.S.C. 2103). After hire, post-employment rules (18 U.S.C. 207) limit what former officials may do on Astrion's behalf. Bring Astrion's ethics office in before contacting anyone in government.</w:t>
      </w:r>
    </w:p>
    <w:p>
      <w:pPr>
        <w:pStyle w:val="ListBullet"/>
      </w:pPr>
      <w:r>
        <w:rPr>
          <w:rFonts w:ascii="Archivo" w:hAnsi="Archivo" w:cs="Archivo" w:eastAsia="Archivo"/>
          <w:b/>
          <w:color w:val="0B0D10"/>
        </w:rPr>
        <w:t xml:space="preserve">Clearances. </w:t>
      </w:r>
      <w:r>
        <w:rPr>
          <w:rFonts w:ascii="Archivo" w:hAnsi="Archivo" w:cs="Archivo" w:eastAsia="Archivo"/>
        </w:rPr>
        <w:t>Treat every clearance statement as self-reported. The facility security officer verifies eligibility through DCSA systems after a conditional offer.</w:t>
      </w:r>
    </w:p>
    <w:p>
      <w:pPr>
        <w:pStyle w:val="ListBullet"/>
      </w:pPr>
      <w:r>
        <w:rPr>
          <w:rFonts w:ascii="Archivo" w:hAnsi="Archivo" w:cs="Archivo" w:eastAsia="Archivo"/>
          <w:b/>
          <w:color w:val="0B0D10"/>
        </w:rPr>
        <w:t xml:space="preserve">Citizenship. </w:t>
      </w:r>
      <w:r>
        <w:rPr>
          <w:rFonts w:ascii="Archivo" w:hAnsi="Archivo" w:cs="Archivo" w:eastAsia="Archivo"/>
        </w:rPr>
        <w:t>Screen on citizenship only where law, regulation, executive order or a government contract requires it, such as a role that needs a clearance or export-controlled access. Otherwise citizenship screening risks discrimination claims under the Immigration and Nationality Act (8 U.S.C. 1324b) and Title VII.</w:t>
      </w:r>
    </w:p>
    <w:p>
      <w:pPr>
        <w:pStyle w:val="ListBullet"/>
      </w:pPr>
      <w:r>
        <w:rPr>
          <w:rFonts w:ascii="Archivo" w:hAnsi="Archivo" w:cs="Archivo" w:eastAsia="Archivo"/>
          <w:b/>
          <w:color w:val="0B0D10"/>
        </w:rPr>
        <w:t xml:space="preserve">Controlled information in rubrics. </w:t>
      </w:r>
      <w:r>
        <w:rPr>
          <w:rFonts w:ascii="Archivo" w:hAnsi="Archivo" w:cs="Archivo" w:eastAsia="Archivo"/>
        </w:rPr>
        <w:t>Candidate data is not export-controlled, but job descriptions and rubrics for some programs could carry controlled technical detail. Write rubrics at the level of a public job posting.</w:t>
      </w:r>
    </w:p>
    <w:p>
      <w:pPr>
        <w:pStyle w:val="Heading1"/>
      </w:pPr>
      <w:r>
        <w:t>6. Outreach rules</w:t>
      </w:r>
    </w:p>
    <w:p>
      <w:pPr>
        <w:pStyle w:val="ListBullet"/>
      </w:pPr>
      <w:r>
        <w:rPr>
          <w:rFonts w:ascii="Archivo" w:hAnsi="Archivo" w:cs="Archivo" w:eastAsia="Archivo"/>
        </w:rPr>
        <w:t>Recruiters send every message personally. The tool drafts; it never sends.</w:t>
      </w:r>
    </w:p>
    <w:p>
      <w:pPr>
        <w:pStyle w:val="ListBullet"/>
      </w:pPr>
      <w:r>
        <w:rPr>
          <w:rFonts w:ascii="Archivo" w:hAnsi="Archivo" w:cs="Archivo" w:eastAsia="Archivo"/>
        </w:rPr>
        <w:t>Use the platform's own messaging (InMail, ClearanceJobs messaging) for people found there.</w:t>
      </w:r>
    </w:p>
    <w:p>
      <w:pPr>
        <w:pStyle w:val="ListBullet"/>
      </w:pPr>
      <w:r>
        <w:rPr>
          <w:rFonts w:ascii="Archivo" w:hAnsi="Archivo" w:cs="Archivo" w:eastAsia="Archivo"/>
        </w:rPr>
        <w:t>Keep email individual. Say who you are and why you are writing, and honor requests to stop.</w:t>
      </w:r>
    </w:p>
    <w:p>
      <w:pPr>
        <w:pStyle w:val="ListBullet"/>
      </w:pPr>
      <w:r>
        <w:rPr>
          <w:rFonts w:ascii="Archivo" w:hAnsi="Archivo" w:cs="Archivo" w:eastAsia="Archivo"/>
        </w:rPr>
        <w:t>Do not text candidates through automated systems without consent (Telephone Consumer Protection Act).</w:t>
      </w:r>
    </w:p>
    <w:p>
      <w:pPr>
        <w:pStyle w:val="ListBullet"/>
      </w:pPr>
      <w:r>
        <w:rPr>
          <w:rFonts w:ascii="Archivo" w:hAnsi="Archivo" w:cs="Archivo" w:eastAsia="Archivo"/>
        </w:rPr>
        <w:t>Do not email GitHub users in bulk or from harvested lists; GitHub's policies forbid it.</w:t>
      </w:r>
    </w:p>
    <w:p>
      <w:pPr>
        <w:pStyle w:val="Heading1"/>
      </w:pPr>
      <w:r>
        <w:t>7. Controls built into the tool</w:t>
      </w:r>
    </w:p>
    <w:tbl>
      <w:tblPr>
        <w:tblW w:type="pct" w:w="5000"/>
        <w:jc w:val="left"/>
        <w:tblInd w:type="dxa" w:w="115"/>
        <w:tblBorders>
          <w:top w:val="single" w:sz="4" w:color="8A8F99"/>
          <w:left w:val="nil" w:sz="4" w:color="8A8F99"/>
          <w:bottom w:val="single" w:sz="4" w:color="8A8F99"/>
          <w:right w:val="nil" w:sz="4" w:color="8A8F99"/>
          <w:insideH w:val="single" w:sz="4" w:color="8A8F99"/>
          <w:insideV w:val="nil" w:sz="4" w:color="8A8F99"/>
        </w:tblBorders>
        <w:tblLayout w:type="fixed"/>
        <w:tblCellMar>
          <w:top w:w="72" w:type="dxa"/>
          <w:bottom w:w="72" w:type="dxa"/>
          <w:left w:w="115" w:type="dxa"/>
          <w:right w:w="115" w:type="dxa"/>
        </w:tblCellMar>
        <w:tblLook w:firstColumn="1" w:firstRow="1" w:lastColumn="0" w:lastRow="0" w:noHBand="0" w:noVBand="1" w:val="04A0"/>
      </w:tblPr>
      <w:tblGrid>
        <w:gridCol w:w="2880"/>
        <w:gridCol w:w="6480"/>
      </w:tblGrid>
      <w:tr>
        <w:trPr>
          <w:cantSplit w:val="true"/>
          <w:tblHeader w:val="true"/>
        </w:trPr>
        <w:tc>
          <w:tcPr>
            <w:tcW w:type="dxa" w:w="2880"/>
            <w:shd w:val="clear" w:color="auto" w:fill="171B22"/>
          </w:tcPr>
          <w:p>
            <w:pPr>
              <w:spacing w:before="0" w:after="0"/>
            </w:pPr>
            <w:r>
              <w:rPr>
                <w:rFonts w:ascii="JetBrains Mono" w:hAnsi="JetBrains Mono" w:cs="JetBrains Mono" w:eastAsia="JetBrains Mono"/>
                <w:b w:val="0"/>
                <w:color w:val="EEEDE7"/>
                <w:sz w:val="18"/>
              </w:rPr>
              <w:t>CONCERN</w:t>
            </w:r>
          </w:p>
        </w:tc>
        <w:tc>
          <w:tcPr>
            <w:tcW w:type="dxa" w:w="6480"/>
            <w:shd w:val="clear" w:color="auto" w:fill="171B22"/>
          </w:tcPr>
          <w:p>
            <w:pPr>
              <w:spacing w:before="0" w:after="0"/>
            </w:pPr>
            <w:r>
              <w:rPr>
                <w:rFonts w:ascii="JetBrains Mono" w:hAnsi="JetBrains Mono" w:cs="JetBrains Mono" w:eastAsia="JetBrains Mono"/>
                <w:b w:val="0"/>
                <w:color w:val="EEEDE7"/>
                <w:sz w:val="18"/>
              </w:rPr>
              <w:t>CONTROL</w:t>
            </w:r>
          </w:p>
        </w:tc>
      </w:tr>
      <w:tr>
        <w:trPr>
          <w:cantSplit w:val="true"/>
        </w:trPr>
        <w:tc>
          <w:tcPr>
            <w:tcW w:type="dxa" w:w="2880"/>
          </w:tcPr>
          <w:p>
            <w:pPr>
              <w:spacing w:before="0" w:after="0"/>
              <w:jc w:val="left"/>
            </w:pPr>
            <w:r>
              <w:rPr>
                <w:rFonts w:ascii="Archivo" w:hAnsi="Archivo" w:cs="Archivo" w:eastAsia="Archivo"/>
                <w:b w:val="0"/>
                <w:color w:val="0B0D10"/>
                <w:sz w:val="18"/>
              </w:rPr>
              <w:t>Platform terms and scraping</w:t>
            </w:r>
          </w:p>
        </w:tc>
        <w:tc>
          <w:tcPr>
            <w:tcW w:type="dxa" w:w="6480"/>
          </w:tcPr>
          <w:p>
            <w:pPr>
              <w:spacing w:before="0" w:after="0"/>
              <w:jc w:val="left"/>
            </w:pPr>
            <w:r>
              <w:rPr>
                <w:rFonts w:ascii="Archivo" w:hAnsi="Archivo" w:cs="Archivo" w:eastAsia="Archivo"/>
                <w:b w:val="0"/>
                <w:color w:val="0B0D10"/>
                <w:sz w:val="18"/>
              </w:rPr>
              <w:t>No crawler or bot. The tool imports licensed exports and writes search strings for recruiters to run by hand.</w:t>
            </w:r>
          </w:p>
        </w:tc>
      </w:tr>
      <w:tr>
        <w:trPr>
          <w:cantSplit w:val="true"/>
        </w:trPr>
        <w:tc>
          <w:tcPr>
            <w:tcW w:type="dxa" w:w="2880"/>
          </w:tcPr>
          <w:p>
            <w:pPr>
              <w:spacing w:before="0" w:after="0"/>
              <w:jc w:val="left"/>
            </w:pPr>
            <w:r>
              <w:rPr>
                <w:rFonts w:ascii="Archivo" w:hAnsi="Archivo" w:cs="Archivo" w:eastAsia="Archivo"/>
                <w:b w:val="0"/>
                <w:color w:val="0B0D10"/>
                <w:sz w:val="18"/>
              </w:rPr>
              <w:t>Fabricated or unsupported evidence</w:t>
            </w:r>
          </w:p>
        </w:tc>
        <w:tc>
          <w:tcPr>
            <w:tcW w:type="dxa" w:w="6480"/>
          </w:tcPr>
          <w:p>
            <w:pPr>
              <w:spacing w:before="0" w:after="0"/>
              <w:jc w:val="left"/>
            </w:pPr>
            <w:r>
              <w:rPr>
                <w:rFonts w:ascii="Archivo" w:hAnsi="Archivo" w:cs="Archivo" w:eastAsia="Archivo"/>
                <w:b w:val="0"/>
                <w:color w:val="0B0D10"/>
                <w:sz w:val="18"/>
              </w:rPr>
              <w:t>Every quote is checked against the profile. Unsupported scores become unknown, never zero.</w:t>
            </w:r>
          </w:p>
        </w:tc>
      </w:tr>
      <w:tr>
        <w:trPr>
          <w:cantSplit w:val="true"/>
        </w:trPr>
        <w:tc>
          <w:tcPr>
            <w:tcW w:type="dxa" w:w="2880"/>
          </w:tcPr>
          <w:p>
            <w:pPr>
              <w:spacing w:before="0" w:after="0"/>
              <w:jc w:val="left"/>
            </w:pPr>
            <w:r>
              <w:rPr>
                <w:rFonts w:ascii="Archivo" w:hAnsi="Archivo" w:cs="Archivo" w:eastAsia="Archivo"/>
                <w:b w:val="0"/>
                <w:color w:val="0B0D10"/>
                <w:sz w:val="18"/>
              </w:rPr>
              <w:t>Discrimination and proxies</w:t>
            </w:r>
          </w:p>
        </w:tc>
        <w:tc>
          <w:tcPr>
            <w:tcW w:type="dxa" w:w="6480"/>
          </w:tcPr>
          <w:p>
            <w:pPr>
              <w:spacing w:before="0" w:after="0"/>
              <w:jc w:val="left"/>
            </w:pPr>
            <w:r>
              <w:rPr>
                <w:rFonts w:ascii="Archivo" w:hAnsi="Archivo" w:cs="Archivo" w:eastAsia="Archivo"/>
                <w:b w:val="0"/>
                <w:color w:val="0B0D10"/>
                <w:sz w:val="18"/>
              </w:rPr>
              <w:t>Scoring never sees name, contact details, location, schools or graduation years. Instructions forbid protected characteristics and their proxies. Ranking is computed in code from weighted scores.</w:t>
            </w:r>
          </w:p>
        </w:tc>
      </w:tr>
      <w:tr>
        <w:trPr>
          <w:cantSplit w:val="true"/>
        </w:trPr>
        <w:tc>
          <w:tcPr>
            <w:tcW w:type="dxa" w:w="2880"/>
          </w:tcPr>
          <w:p>
            <w:pPr>
              <w:spacing w:before="0" w:after="0"/>
              <w:jc w:val="left"/>
            </w:pPr>
            <w:r>
              <w:rPr>
                <w:rFonts w:ascii="Archivo" w:hAnsi="Archivo" w:cs="Archivo" w:eastAsia="Archivo"/>
                <w:b w:val="0"/>
                <w:color w:val="0B0D10"/>
                <w:sz w:val="18"/>
              </w:rPr>
              <w:t>Human decision-making</w:t>
            </w:r>
          </w:p>
        </w:tc>
        <w:tc>
          <w:tcPr>
            <w:tcW w:type="dxa" w:w="6480"/>
          </w:tcPr>
          <w:p>
            <w:pPr>
              <w:spacing w:before="0" w:after="0"/>
              <w:jc w:val="left"/>
            </w:pPr>
            <w:r>
              <w:rPr>
                <w:rFonts w:ascii="Archivo" w:hAnsi="Archivo" w:cs="Archivo" w:eastAsia="Archivo"/>
                <w:b w:val="0"/>
                <w:color w:val="0B0D10"/>
                <w:sz w:val="18"/>
              </w:rPr>
              <w:t>Recruiters approve or reject each candidate with a reason code. The tool contacts no one.</w:t>
            </w:r>
          </w:p>
        </w:tc>
      </w:tr>
      <w:tr>
        <w:trPr>
          <w:cantSplit w:val="true"/>
        </w:trPr>
        <w:tc>
          <w:tcPr>
            <w:tcW w:type="dxa" w:w="2880"/>
          </w:tcPr>
          <w:p>
            <w:pPr>
              <w:spacing w:before="0" w:after="0"/>
              <w:jc w:val="left"/>
            </w:pPr>
            <w:r>
              <w:rPr>
                <w:rFonts w:ascii="Archivo" w:hAnsi="Archivo" w:cs="Archivo" w:eastAsia="Archivo"/>
                <w:b w:val="0"/>
                <w:color w:val="0B0D10"/>
                <w:sz w:val="18"/>
              </w:rPr>
              <w:t>Non-solicitation</w:t>
            </w:r>
          </w:p>
        </w:tc>
        <w:tc>
          <w:tcPr>
            <w:tcW w:type="dxa" w:w="6480"/>
          </w:tcPr>
          <w:p>
            <w:pPr>
              <w:spacing w:before="0" w:after="0"/>
              <w:jc w:val="left"/>
            </w:pPr>
            <w:r>
              <w:rPr>
                <w:rFonts w:ascii="Archivo" w:hAnsi="Archivo" w:cs="Archivo" w:eastAsia="Archivo"/>
                <w:b w:val="0"/>
                <w:color w:val="0B0D10"/>
                <w:sz w:val="18"/>
              </w:rPr>
              <w:t>Do-not-target list, changed only by Editors and applied before scoring.</w:t>
            </w:r>
          </w:p>
        </w:tc>
      </w:tr>
      <w:tr>
        <w:trPr>
          <w:cantSplit w:val="true"/>
        </w:trPr>
        <w:tc>
          <w:tcPr>
            <w:tcW w:type="dxa" w:w="2880"/>
          </w:tcPr>
          <w:p>
            <w:pPr>
              <w:spacing w:before="0" w:after="0"/>
              <w:jc w:val="left"/>
            </w:pPr>
            <w:r>
              <w:rPr>
                <w:rFonts w:ascii="Archivo" w:hAnsi="Archivo" w:cs="Archivo" w:eastAsia="Archivo"/>
                <w:b w:val="0"/>
                <w:color w:val="0B0D10"/>
                <w:sz w:val="18"/>
              </w:rPr>
              <w:t>Recordkeeping</w:t>
            </w:r>
          </w:p>
        </w:tc>
        <w:tc>
          <w:tcPr>
            <w:tcW w:type="dxa" w:w="6480"/>
          </w:tcPr>
          <w:p>
            <w:pPr>
              <w:spacing w:before="0" w:after="0"/>
              <w:jc w:val="left"/>
            </w:pPr>
            <w:r>
              <w:rPr>
                <w:rFonts w:ascii="Archivo" w:hAnsi="Archivo" w:cs="Archivo" w:eastAsia="Archivo"/>
                <w:b w:val="0"/>
                <w:color w:val="0B0D10"/>
                <w:sz w:val="18"/>
              </w:rPr>
              <w:t>Audit log; rubric versions locked on approval with the approver's name; CSV export of every slate.</w:t>
            </w:r>
          </w:p>
        </w:tc>
      </w:tr>
      <w:tr>
        <w:trPr>
          <w:cantSplit w:val="true"/>
        </w:trPr>
        <w:tc>
          <w:tcPr>
            <w:tcW w:type="dxa" w:w="2880"/>
          </w:tcPr>
          <w:p>
            <w:pPr>
              <w:spacing w:before="0" w:after="0"/>
              <w:jc w:val="left"/>
            </w:pPr>
            <w:r>
              <w:rPr>
                <w:rFonts w:ascii="Archivo" w:hAnsi="Archivo" w:cs="Archivo" w:eastAsia="Archivo"/>
                <w:b w:val="0"/>
                <w:color w:val="0B0D10"/>
                <w:sz w:val="18"/>
              </w:rPr>
              <w:t>Privacy and retention</w:t>
            </w:r>
          </w:p>
        </w:tc>
        <w:tc>
          <w:tcPr>
            <w:tcW w:type="dxa" w:w="6480"/>
          </w:tcPr>
          <w:p>
            <w:pPr>
              <w:spacing w:before="0" w:after="0"/>
              <w:jc w:val="left"/>
            </w:pPr>
            <w:r>
              <w:rPr>
                <w:rFonts w:ascii="Archivo" w:hAnsi="Archivo" w:cs="Archivo" w:eastAsia="Archivo"/>
                <w:b w:val="0"/>
                <w:color w:val="0B0D10"/>
                <w:sz w:val="18"/>
              </w:rPr>
              <w:t>Delete searches and their candidates; the GitHub version keeps data in the recruiter's own browser.</w:t>
            </w:r>
          </w:p>
        </w:tc>
      </w:tr>
      <w:tr>
        <w:trPr>
          <w:cantSplit w:val="true"/>
        </w:trPr>
        <w:tc>
          <w:tcPr>
            <w:tcW w:type="dxa" w:w="2880"/>
          </w:tcPr>
          <w:p>
            <w:pPr>
              <w:spacing w:before="0" w:after="0"/>
              <w:jc w:val="left"/>
            </w:pPr>
            <w:r>
              <w:rPr>
                <w:rFonts w:ascii="Archivo" w:hAnsi="Archivo" w:cs="Archivo" w:eastAsia="Archivo"/>
                <w:b w:val="0"/>
                <w:color w:val="0B0D10"/>
                <w:sz w:val="18"/>
              </w:rPr>
              <w:t>Clearance claims</w:t>
            </w:r>
          </w:p>
        </w:tc>
        <w:tc>
          <w:tcPr>
            <w:tcW w:type="dxa" w:w="6480"/>
          </w:tcPr>
          <w:p>
            <w:pPr>
              <w:spacing w:before="0" w:after="0"/>
              <w:jc w:val="left"/>
            </w:pPr>
            <w:r>
              <w:rPr>
                <w:rFonts w:ascii="Archivo" w:hAnsi="Archivo" w:cs="Archivo" w:eastAsia="Archivo"/>
                <w:b w:val="0"/>
                <w:color w:val="0B0D10"/>
                <w:sz w:val="18"/>
              </w:rPr>
              <w:t>Labeled self-reported and unverified everywhere they appear.</w:t>
            </w:r>
          </w:p>
        </w:tc>
      </w:tr>
    </w:tbl>
    <w:p>
      <w:pPr>
        <w:spacing w:after="0"/>
      </w:pPr>
    </w:p>
    <w:p>
      <w:pPr>
        <w:pStyle w:val="Heading1"/>
      </w:pPr>
      <w:r>
        <w:t>8. Open items for counsel</w:t>
      </w:r>
    </w:p>
    <w:p>
      <w:pPr>
        <w:tabs>
          <w:tab w:pos="432" w:val="left"/>
        </w:tabs>
        <w:spacing w:after="80"/>
        <w:ind w:left="432" w:hanging="432"/>
      </w:pPr>
      <w:r>
        <w:rPr>
          <w:rFonts w:ascii="Archivo" w:hAnsi="Archivo" w:cs="Archivo" w:eastAsia="Archivo"/>
        </w:rPr>
        <w:t>1.</w:t>
        <w:tab/>
      </w:r>
      <w:r>
        <w:rPr>
          <w:rFonts w:ascii="Archivo" w:hAnsi="Archivo" w:cs="Archivo" w:eastAsia="Archivo"/>
        </w:rPr>
        <w:t>Confirm export and data-use rights in Astrion's LinkedIn Recruiter and ClearanceJobs contracts.</w:t>
      </w:r>
    </w:p>
    <w:p>
      <w:pPr>
        <w:tabs>
          <w:tab w:pos="432" w:val="left"/>
        </w:tabs>
        <w:spacing w:after="80"/>
        <w:ind w:left="432" w:hanging="432"/>
      </w:pPr>
      <w:r>
        <w:rPr>
          <w:rFonts w:ascii="Archivo" w:hAnsi="Archivo" w:cs="Archivo" w:eastAsia="Archivo"/>
        </w:rPr>
        <w:t>2.</w:t>
        <w:tab/>
      </w:r>
      <w:r>
        <w:rPr>
          <w:rFonts w:ascii="Archivo" w:hAnsi="Archivo" w:cs="Archivo" w:eastAsia="Archivo"/>
        </w:rPr>
        <w:t>Decide whether the tool is an automated employment decision tool under New York City Local Law 144.</w:t>
      </w:r>
    </w:p>
    <w:p>
      <w:pPr>
        <w:tabs>
          <w:tab w:pos="432" w:val="left"/>
        </w:tabs>
        <w:spacing w:after="80"/>
        <w:ind w:left="432" w:hanging="432"/>
      </w:pPr>
      <w:r>
        <w:rPr>
          <w:rFonts w:ascii="Archivo" w:hAnsi="Archivo" w:cs="Archivo" w:eastAsia="Archivo"/>
        </w:rPr>
        <w:t>3.</w:t>
        <w:tab/>
      </w:r>
      <w:r>
        <w:rPr>
          <w:rFonts w:ascii="Archivo" w:hAnsi="Archivo" w:cs="Archivo" w:eastAsia="Archivo"/>
        </w:rPr>
        <w:t>Draft the Illinois AI-use notice and any California notice language.</w:t>
      </w:r>
    </w:p>
    <w:p>
      <w:pPr>
        <w:tabs>
          <w:tab w:pos="432" w:val="left"/>
        </w:tabs>
        <w:spacing w:after="80"/>
        <w:ind w:left="432" w:hanging="432"/>
      </w:pPr>
      <w:r>
        <w:rPr>
          <w:rFonts w:ascii="Archivo" w:hAnsi="Archivo" w:cs="Archivo" w:eastAsia="Archivo"/>
        </w:rPr>
        <w:t>4.</w:t>
        <w:tab/>
      </w:r>
      <w:r>
        <w:rPr>
          <w:rFonts w:ascii="Archivo" w:hAnsi="Archivo" w:cs="Archivo" w:eastAsia="Archivo"/>
        </w:rPr>
        <w:t>Obtain each data vendor's FCRA position and data provenance terms in writing.</w:t>
      </w:r>
    </w:p>
    <w:p>
      <w:pPr>
        <w:tabs>
          <w:tab w:pos="432" w:val="left"/>
        </w:tabs>
        <w:spacing w:after="80"/>
        <w:ind w:left="432" w:hanging="432"/>
      </w:pPr>
      <w:r>
        <w:rPr>
          <w:rFonts w:ascii="Archivo" w:hAnsi="Archivo" w:cs="Archivo" w:eastAsia="Archivo"/>
        </w:rPr>
        <w:t>5.</w:t>
        <w:tab/>
      </w:r>
      <w:r>
        <w:rPr>
          <w:rFonts w:ascii="Archivo" w:hAnsi="Archivo" w:cs="Archivo" w:eastAsia="Archivo"/>
        </w:rPr>
        <w:t>Approve the contractual basis for each do-not-target entry and review it for antitrust risk.</w:t>
      </w:r>
    </w:p>
    <w:p>
      <w:pPr>
        <w:tabs>
          <w:tab w:pos="432" w:val="left"/>
        </w:tabs>
        <w:spacing w:after="80"/>
        <w:ind w:left="432" w:hanging="432"/>
      </w:pPr>
      <w:r>
        <w:rPr>
          <w:rFonts w:ascii="Archivo" w:hAnsi="Archivo" w:cs="Archivo" w:eastAsia="Archivo"/>
        </w:rPr>
        <w:t>6.</w:t>
        <w:tab/>
      </w:r>
      <w:r>
        <w:rPr>
          <w:rFonts w:ascii="Archivo" w:hAnsi="Archivo" w:cs="Archivo" w:eastAsia="Archivo"/>
        </w:rPr>
        <w:t>Set a protocol for contacting current federal employees and service members.</w:t>
      </w:r>
    </w:p>
    <w:p>
      <w:pPr>
        <w:tabs>
          <w:tab w:pos="432" w:val="left"/>
        </w:tabs>
        <w:spacing w:after="80"/>
        <w:ind w:left="432" w:hanging="432"/>
      </w:pPr>
      <w:r>
        <w:rPr>
          <w:rFonts w:ascii="Archivo" w:hAnsi="Archivo" w:cs="Archivo" w:eastAsia="Archivo"/>
        </w:rPr>
        <w:t>7.</w:t>
        <w:tab/>
      </w:r>
      <w:r>
        <w:rPr>
          <w:rFonts w:ascii="Archivo" w:hAnsi="Archivo" w:cs="Archivo" w:eastAsia="Archivo"/>
        </w:rPr>
        <w:t>Set the retention period for sourced candidates and the CCPA notice at collection.</w:t>
      </w:r>
    </w:p>
    <w:p>
      <w:pPr>
        <w:tabs>
          <w:tab w:pos="432" w:val="left"/>
        </w:tabs>
        <w:spacing w:after="80"/>
        <w:ind w:left="432" w:hanging="432"/>
      </w:pPr>
      <w:r>
        <w:rPr>
          <w:rFonts w:ascii="Archivo" w:hAnsi="Archivo" w:cs="Archivo" w:eastAsia="Archivo"/>
        </w:rPr>
        <w:t>8.</w:t>
        <w:tab/>
      </w:r>
      <w:r>
        <w:rPr>
          <w:rFonts w:ascii="Archivo" w:hAnsi="Archivo" w:cs="Archivo" w:eastAsia="Archivo"/>
        </w:rPr>
        <w:t>Track federal challenges to state AI laws and Colorado's January 2027 effective date.</w:t>
      </w:r>
    </w:p>
    <w:p>
      <w:pPr>
        <w:pStyle w:val="Heading1"/>
      </w:pPr>
      <w:r>
        <w:t>Sources</w:t>
      </w:r>
    </w:p>
    <w:p>
      <w:pPr>
        <w:pStyle w:val="ListBullet"/>
      </w:pPr>
      <w:r>
        <w:rPr>
          <w:rFonts w:ascii="Archivo" w:hAnsi="Archivo" w:cs="Archivo" w:eastAsia="Archivo"/>
          <w:b/>
          <w:color w:val="0B0D10"/>
          <w:sz w:val="19"/>
        </w:rPr>
        <w:t xml:space="preserve">hiQ v. LinkedIn consent judgment: </w:t>
      </w:r>
      <w:r>
        <w:rPr>
          <w:rFonts w:ascii="Archivo" w:hAnsi="Archivo" w:cs="Archivo" w:eastAsia="Archivo"/>
          <w:sz w:val="19"/>
        </w:rPr>
        <w:t>privacyworld.blog/2022/12/linkedins-data-scraping-battle-with-hiq-labs-ends-with-proposed-judgment</w:t>
      </w:r>
    </w:p>
    <w:p>
      <w:pPr>
        <w:pStyle w:val="ListBullet"/>
      </w:pPr>
      <w:r>
        <w:rPr>
          <w:rFonts w:ascii="Archivo" w:hAnsi="Archivo" w:cs="Archivo" w:eastAsia="Archivo"/>
          <w:b/>
          <w:color w:val="0B0D10"/>
          <w:sz w:val="19"/>
        </w:rPr>
        <w:t xml:space="preserve">Meta v. Bright Data: </w:t>
      </w:r>
      <w:r>
        <w:rPr>
          <w:rFonts w:ascii="Archivo" w:hAnsi="Archivo" w:cs="Archivo" w:eastAsia="Archivo"/>
          <w:sz w:val="19"/>
        </w:rPr>
        <w:t>techcrunch.com/2024/01/24/court-rules-in-favor-of-a-web-scraper-bright-data-which-meta-had-used-and-then-sued</w:t>
      </w:r>
    </w:p>
    <w:p>
      <w:pPr>
        <w:pStyle w:val="ListBullet"/>
      </w:pPr>
      <w:r>
        <w:rPr>
          <w:rFonts w:ascii="Archivo" w:hAnsi="Archivo" w:cs="Archivo" w:eastAsia="Archivo"/>
          <w:b/>
          <w:color w:val="0B0D10"/>
          <w:sz w:val="19"/>
        </w:rPr>
        <w:t xml:space="preserve">Proxycurl shutdown: </w:t>
      </w:r>
      <w:r>
        <w:rPr>
          <w:rFonts w:ascii="Archivo" w:hAnsi="Archivo" w:cs="Archivo" w:eastAsia="Archivo"/>
          <w:sz w:val="19"/>
        </w:rPr>
        <w:t>nubela.co/blog/goodbye-proxycurl; news.bloomberglaw.com (LinkedIn scraper litigation)</w:t>
      </w:r>
    </w:p>
    <w:p>
      <w:pPr>
        <w:pStyle w:val="ListBullet"/>
      </w:pPr>
      <w:r>
        <w:rPr>
          <w:rFonts w:ascii="Archivo" w:hAnsi="Archivo" w:cs="Archivo" w:eastAsia="Archivo"/>
          <w:b/>
          <w:color w:val="0B0D10"/>
          <w:sz w:val="19"/>
        </w:rPr>
        <w:t xml:space="preserve">GitHub Acceptable Use Policies: </w:t>
      </w:r>
      <w:r>
        <w:rPr>
          <w:rFonts w:ascii="Archivo" w:hAnsi="Archivo" w:cs="Archivo" w:eastAsia="Archivo"/>
          <w:sz w:val="19"/>
        </w:rPr>
        <w:t>docs.github.com/en/site-policy/acceptable-use-policies/github-acceptable-use-policies</w:t>
      </w:r>
    </w:p>
    <w:p>
      <w:pPr>
        <w:pStyle w:val="ListBullet"/>
      </w:pPr>
      <w:r>
        <w:rPr>
          <w:rFonts w:ascii="Archivo" w:hAnsi="Archivo" w:cs="Archivo" w:eastAsia="Archivo"/>
          <w:b/>
          <w:color w:val="0B0D10"/>
          <w:sz w:val="19"/>
        </w:rPr>
        <w:t xml:space="preserve">LinkedIn Recruiter System Connect: </w:t>
      </w:r>
      <w:r>
        <w:rPr>
          <w:rFonts w:ascii="Archivo" w:hAnsi="Archivo" w:cs="Archivo" w:eastAsia="Archivo"/>
          <w:sz w:val="19"/>
        </w:rPr>
        <w:t>learn.microsoft.com/linkedin/talent/recruiter-system-connect</w:t>
      </w:r>
    </w:p>
    <w:p>
      <w:pPr>
        <w:pStyle w:val="ListBullet"/>
      </w:pPr>
      <w:r>
        <w:rPr>
          <w:rFonts w:ascii="Archivo" w:hAnsi="Archivo" w:cs="Archivo" w:eastAsia="Archivo"/>
          <w:b/>
          <w:color w:val="0B0D10"/>
          <w:sz w:val="19"/>
        </w:rPr>
        <w:t xml:space="preserve">DOJ and FTC worker guidelines (January 2025): </w:t>
      </w:r>
      <w:r>
        <w:rPr>
          <w:rFonts w:ascii="Archivo" w:hAnsi="Archivo" w:cs="Archivo" w:eastAsia="Archivo"/>
          <w:sz w:val="19"/>
        </w:rPr>
        <w:t>ogletree.com (FTC and DOJ jointly issue antitrust guidelines for business activities affecting workers)</w:t>
      </w:r>
    </w:p>
    <w:p>
      <w:pPr>
        <w:pStyle w:val="ListBullet"/>
      </w:pPr>
      <w:r>
        <w:rPr>
          <w:rFonts w:ascii="Archivo" w:hAnsi="Archivo" w:cs="Archivo" w:eastAsia="Archivo"/>
          <w:b/>
          <w:color w:val="0B0D10"/>
          <w:sz w:val="19"/>
        </w:rPr>
        <w:t xml:space="preserve">Illinois HB 3773: </w:t>
      </w:r>
      <w:r>
        <w:rPr>
          <w:rFonts w:ascii="Archivo" w:hAnsi="Archivo" w:cs="Archivo" w:eastAsia="Archivo"/>
          <w:sz w:val="19"/>
        </w:rPr>
        <w:t>hunton.com (Illinois enacts new law regulating employer use of artificial intelligence)</w:t>
      </w:r>
    </w:p>
    <w:p>
      <w:pPr>
        <w:pStyle w:val="ListBullet"/>
      </w:pPr>
      <w:r>
        <w:rPr>
          <w:rFonts w:ascii="Archivo" w:hAnsi="Archivo" w:cs="Archivo" w:eastAsia="Archivo"/>
          <w:b/>
          <w:color w:val="0B0D10"/>
          <w:sz w:val="19"/>
        </w:rPr>
        <w:t xml:space="preserve">Colorado SB 26-189: </w:t>
      </w:r>
      <w:r>
        <w:rPr>
          <w:rFonts w:ascii="Archivo" w:hAnsi="Archivo" w:cs="Archivo" w:eastAsia="Archivo"/>
          <w:sz w:val="19"/>
        </w:rPr>
        <w:t>dglaw.com (what to know about Colorado's repeal and replacement of its AI Act)</w:t>
      </w:r>
    </w:p>
    <w:p>
      <w:pPr>
        <w:pStyle w:val="ListBullet"/>
      </w:pPr>
      <w:r>
        <w:rPr>
          <w:rFonts w:ascii="Archivo" w:hAnsi="Archivo" w:cs="Archivo" w:eastAsia="Archivo"/>
          <w:b/>
          <w:color w:val="0B0D10"/>
          <w:sz w:val="19"/>
        </w:rPr>
        <w:t xml:space="preserve">Other items </w:t>
      </w:r>
      <w:r>
        <w:rPr>
          <w:rFonts w:ascii="Archivo" w:hAnsi="Archivo" w:cs="Archivo" w:eastAsia="Archivo"/>
          <w:sz w:val="19"/>
        </w:rPr>
        <w:t>(Van Buren, New York City Local Law 144, California ADS regulations, CCPA, federal ethics and procurement statutes) are from prior knowledge and should be confirmed by counsel.</w:t>
      </w:r>
    </w:p>
    <w:sectPr w:rsidR="00FC693F" w:rsidRPr="0006063C" w:rsidSect="00034616">
      <w:headerReference w:type="default" r:id="rId9"/>
      <w:footerReference w:type="default" r:id="rId10"/>
      <w:pgSz w:w="12240" w:h="15840"/>
      <w:pgMar w:top="1440" w:right="1440" w:bottom="1296"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680" w:val="clear"/>
        <w:tab w:pos="9360" w:val="right"/>
      </w:tabs>
    </w:pPr>
    <w:r>
      <w:rPr>
        <w:rFonts w:ascii="JetBrains Mono" w:hAnsi="JetBrains Mono" w:cs="JetBrains Mono" w:eastAsia="JetBrains Mono"/>
        <w:b w:val="0"/>
        <w:color w:val="171B22"/>
        <w:sz w:val="18"/>
      </w:rPr>
      <w:t>ASTRION / TALENT ACQUISITION AGENT / LEGAL AND SOURCING</w:t>
      <w:tab/>
      <w:t xml:space="preserve">PAGE </w:t>
    </w:r>
    <w:r>
      <w:rPr>
        <w:rFonts w:ascii="JetBrains Mono" w:hAnsi="JetBrains Mono" w:cs="JetBrains Mono" w:eastAsia="JetBrains Mono"/>
        <w:b w:val="0"/>
        <w:color w:val="171B22"/>
        <w:sz w:val="18"/>
      </w:rPr>
      <w:fldChar w:fldCharType="begin"/>
      <w:instrText xml:space="preserve"> PAGE </w:instrText>
      <w:fldChar w:fldCharType="separate"/>
      <w:t>1</w:t>
      <w:fldChar w:fldCharType="end"/>
    </w:r>
    <w:r>
      <w:rPr>
        <w:rFonts w:ascii="JetBrains Mono" w:hAnsi="JetBrains Mono" w:cs="JetBrains Mono" w:eastAsia="JetBrains Mono"/>
        <w:b w:val="0"/>
        <w:color w:val="171B22"/>
        <w:sz w:val="18"/>
      </w:rPr>
      <w:t xml:space="preserve"> OF </w:t>
    </w:r>
    <w:r>
      <w:rPr>
        <w:rFonts w:ascii="JetBrains Mono" w:hAnsi="JetBrains Mono" w:cs="JetBrains Mono" w:eastAsia="JetBrains Mono"/>
        <w:b w:val="0"/>
        <w:color w:val="171B22"/>
        <w:sz w:val="18"/>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drawing>
        <wp:inline xmlns:a="http://schemas.openxmlformats.org/drawingml/2006/main" xmlns:pic="http://schemas.openxmlformats.org/drawingml/2006/picture">
          <wp:extent cx="1280160" cy="196825"/>
          <wp:docPr id="1" name="Picture 1"/>
          <wp:cNvGraphicFramePr>
            <a:graphicFrameLocks noChangeAspect="1"/>
          </wp:cNvGraphicFramePr>
          <a:graphic>
            <a:graphicData uri="http://schemas.openxmlformats.org/drawingml/2006/picture">
              <pic:pic>
                <pic:nvPicPr>
                  <pic:cNvPr id="0" name="astrion-logo-black.png"/>
                  <pic:cNvPicPr/>
                </pic:nvPicPr>
                <pic:blipFill>
                  <a:blip r:embed="rId1"/>
                  <a:stretch>
                    <a:fillRect/>
                  </a:stretch>
                </pic:blipFill>
                <pic:spPr>
                  <a:xfrm>
                    <a:off x="0" y="0"/>
                    <a:ext cx="1280160" cy="19682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chivo" w:hAnsi="Archivo" w:cs="Archivo" w:eastAsia="Archivo"/>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jc w:val="left"/>
    </w:pPr>
    <w:rPr>
      <w:rFonts w:ascii="Archivo" w:hAnsi="Archivo" w:cs="Archivo" w:eastAsia="Archivo"/>
      <w:b w:val="0"/>
      <w:i w:val="0"/>
      <w:caps w:val="0"/>
      <w:color w:val="0B0D1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JetBrains Mono" w:hAnsi="JetBrains Mono" w:cs="JetBrains Mono" w:eastAsia="JetBrains Mono"/>
      <w:color w:val="171B22"/>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left"/>
      <w:outlineLvl w:val="0"/>
    </w:pPr>
    <w:rPr>
      <w:rFonts w:ascii="Archivo" w:hAnsi="Archivo" w:cs="Archivo" w:eastAsia="Archivo"/>
      <w:b/>
      <w:bCs/>
      <w:i w:val="0"/>
      <w:caps/>
      <w:color w:val="0B0D10"/>
      <w:sz w:val="34"/>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Archivo" w:hAnsi="Archivo" w:cs="Archivo" w:eastAsia="Archivo"/>
      <w:b/>
      <w:bCs/>
      <w:i w:val="0"/>
      <w:caps w:val="0"/>
      <w:color w:val="0B0D10"/>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Archivo" w:hAnsi="Archivo" w:cs="Archivo" w:eastAsia="Archivo"/>
      <w:b/>
      <w:bCs/>
      <w:i w:val="0"/>
      <w:caps w:val="0"/>
      <w:color w:val="171B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0"/>
      <w:contextualSpacing/>
      <w:jc w:val="left"/>
    </w:pPr>
    <w:rPr>
      <w:rFonts w:ascii="Archivo" w:hAnsi="Archivo" w:cs="Archivo" w:eastAsia="Archivo"/>
      <w:b/>
      <w:i w:val="0"/>
      <w:caps/>
      <w:color w:val="0B0D1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jc w:val="left"/>
    </w:pPr>
    <w:rPr>
      <w:rFonts w:ascii="Archivo" w:hAnsi="Archivo" w:cs="Archivo" w:eastAsia="Archivo"/>
      <w:b w:val="0"/>
      <w:i w:val="0"/>
      <w:iCs/>
      <w:caps w:val="0"/>
      <w:color w:val="171B2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chivo" w:hAnsi="Archivo"/>
      <w:color w:val="0B0D1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jc w:val="left"/>
    </w:pPr>
    <w:rPr>
      <w:rFonts w:ascii="Archivo" w:hAnsi="Archivo" w:cs="Archivo" w:eastAsia="Archivo"/>
      <w:b w:val="0"/>
      <w:bCs/>
      <w:i w:val="0"/>
      <w:caps w:val="0"/>
      <w:color w:val="171B2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and Sourcing Guide</dc:title>
  <dc:subject/>
  <dc:creator>Astrion</dc:creator>
  <cp:keywords/>
  <dc:description>generated by python-docx</dc:description>
  <cp:lastModifiedBy/>
  <cp:revision>1</cp:revision>
  <dcterms:created xsi:type="dcterms:W3CDTF">2013-12-23T23:15:00Z</dcterms:created>
  <dcterms:modified xsi:type="dcterms:W3CDTF">2013-12-23T23:15:00Z</dcterms:modified>
  <cp:category/>
</cp:coreProperties>
</file>