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rFonts w:ascii="Times New Roman" w:hAnsi="Times New Roman"/>
          <w:b/>
          <w:color w:val="000000"/>
          <w:sz w:val="32"/>
        </w:rPr>
        <w:t>Transformasi Data Transaksi ke Matriks Biner</w:t>
      </w:r>
    </w:p>
    <w:p>
      <w:pPr>
        <w:spacing w:after="280"/>
        <w:jc w:val="center"/>
      </w:pPr>
      <w:r>
        <w:rPr>
          <w:rFonts w:ascii="Times New Roman" w:hAnsi="Times New Roman"/>
          <w:b w:val="0"/>
          <w:color w:val="404040"/>
          <w:sz w:val="20"/>
        </w:rPr>
        <w:t>Bahan Sisipan Bab IV Jalatrang Wisata</w:t>
      </w:r>
    </w:p>
    <w:p>
      <w:pPr>
        <w:pStyle w:val="Heading1"/>
        <w:spacing w:after="80" w:line="288" w:lineRule="auto"/>
        <w:jc w:val="left"/>
      </w:pPr>
      <w:r>
        <w:rPr>
          <w:rFonts w:ascii="Times New Roman" w:hAnsi="Times New Roman"/>
          <w:b/>
          <w:color w:val="000000"/>
          <w:sz w:val="24"/>
        </w:rPr>
        <w:t>Pengantar</w:t>
      </w:r>
    </w:p>
    <w:p>
      <w:pPr>
        <w:spacing w:after="140" w:line="288" w:lineRule="auto"/>
        <w:jc w:val="left"/>
      </w:pPr>
      <w:r>
        <w:rPr>
          <w:rFonts w:ascii="Times New Roman" w:hAnsi="Times New Roman"/>
          <w:b w:val="0"/>
          <w:color w:val="000000"/>
          <w:sz w:val="21"/>
        </w:rPr>
        <w:t>Sebelum proses pencarian frequent itemset dilakukan, data transaksi berstatus selesai ditransformasikan ke dalam bentuk matriks biner. Nilai 1 menunjukkan bahwa suatu produk muncul minimal satu kali pada transaksi tersebut, sedangkan nilai 0 menunjukkan produk tidak muncul. Kuantitas pembelian tidak digunakan pada tahap ini karena algoritma Apriori menganalisis keberadaan item dalam satu keranjang transaksi.</w:t>
      </w:r>
    </w:p>
    <w:p>
      <w:pPr>
        <w:spacing w:after="100"/>
        <w:jc w:val="center"/>
      </w:pPr>
      <w:r>
        <w:rPr>
          <w:rFonts w:ascii="Times New Roman" w:hAnsi="Times New Roman"/>
          <w:b/>
          <w:color w:val="000000"/>
          <w:sz w:val="20"/>
        </w:rPr>
        <w:t>Tabel 4.x Transformasi Data Transaksi ke Matriks Biner</w:t>
      </w:r>
    </w:p>
    <w:tbl>
      <w:tblPr>
        <w:tblStyle w:val="TableGrid"/>
        <w:tblW w:type="auto" w:w="0"/>
        <w:tblLayout w:type="fixed"/>
        <w:tblLook w:firstColumn="1" w:firstRow="1" w:lastColumn="0" w:lastRow="0" w:noHBand="0" w:noVBand="1" w:val="04A0"/>
      </w:tblPr>
      <w:tblGrid>
        <w:gridCol w:w="1018"/>
        <w:gridCol w:w="1018"/>
        <w:gridCol w:w="1018"/>
        <w:gridCol w:w="1018"/>
        <w:gridCol w:w="1018"/>
        <w:gridCol w:w="1018"/>
        <w:gridCol w:w="1018"/>
        <w:gridCol w:w="1018"/>
        <w:gridCol w:w="1018"/>
        <w:gridCol w:w="1018"/>
        <w:gridCol w:w="1018"/>
        <w:gridCol w:w="1018"/>
        <w:gridCol w:w="1018"/>
        <w:gridCol w:w="1018"/>
      </w:tblGrid>
      <w:tr>
        <w:trPr>
          <w:tblHeader w:val="true"/>
        </w:trP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Kode</w:t>
              <w:br/>
              <w:t>Transaksi</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PW-01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PW-02</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PW-03</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PW-04</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PW-05</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MD-02</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MD-03</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MD-04</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MD-05</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MD-06</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MD-07</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center"/>
            </w:pPr>
            <w:r/>
            <w:r>
              <w:rPr>
                <w:rFonts w:ascii="Times New Roman" w:hAnsi="Times New Roman"/>
                <w:b/>
                <w:color w:val="FFFFFF"/>
                <w:sz w:val="16"/>
              </w:rPr>
              <w:t>MD-08</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SIM-0001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SIM-0013</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SIM-0161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SIM-0164</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SIM-0281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SIM-0288</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SIM-0372</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SIM-0375</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SIM-0441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center"/>
            </w:pPr>
            <w:r/>
            <w:r>
              <w:rPr>
                <w:rFonts w:ascii="Times New Roman" w:hAnsi="Times New Roman"/>
                <w:b w:val="0"/>
                <w:color w:val="595959"/>
                <w:sz w:val="17"/>
              </w:rPr>
              <w:t>0</w:t>
            </w:r>
          </w:p>
        </w:tc>
      </w:tr>
      <w:tr>
        <w:tc>
          <w:tcPr>
            <w:tcW w:type="dxa" w:w="1699"/>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SIM-0444</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EAF2F8"/>
          </w:tcPr>
          <w:p>
            <w:pPr>
              <w:spacing w:after="0" w:before="0"/>
              <w:jc w:val="center"/>
            </w:pPr>
            <w:r/>
            <w:r>
              <w:rPr>
                <w:rFonts w:ascii="Times New Roman" w:hAnsi="Times New Roman"/>
                <w:b/>
                <w:color w:val="1F4E79"/>
                <w:sz w:val="17"/>
              </w:rPr>
              <w:t>1</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center"/>
            </w:pPr>
            <w:r/>
            <w:r>
              <w:rPr>
                <w:rFonts w:ascii="Times New Roman" w:hAnsi="Times New Roman"/>
                <w:b w:val="0"/>
                <w:color w:val="595959"/>
                <w:sz w:val="17"/>
              </w:rPr>
              <w:t>0</w:t>
            </w:r>
          </w:p>
        </w:tc>
      </w:tr>
    </w:tbl>
    <w:p>
      <w:pPr>
        <w:spacing w:before="100" w:after="140"/>
      </w:pPr>
      <w:r>
        <w:rPr>
          <w:rFonts w:ascii="Times New Roman" w:hAnsi="Times New Roman"/>
          <w:b w:val="0"/>
          <w:color w:val="404040"/>
          <w:sz w:val="18"/>
        </w:rPr>
        <w:t>Sumber: Data transaksi aplikasi Jalatrang Wisata, diolah (2026).</w:t>
      </w:r>
    </w:p>
    <w:p>
      <w:r>
        <w:br w:type="page"/>
      </w:r>
    </w:p>
    <w:p>
      <w:pPr>
        <w:pStyle w:val="Heading1"/>
        <w:spacing w:after="80" w:line="288" w:lineRule="auto"/>
        <w:jc w:val="left"/>
      </w:pPr>
      <w:r>
        <w:rPr>
          <w:rFonts w:ascii="Times New Roman" w:hAnsi="Times New Roman"/>
          <w:b/>
          <w:color w:val="000000"/>
          <w:sz w:val="24"/>
        </w:rPr>
        <w:t>Keterangan Kode Produk</w:t>
      </w:r>
    </w:p>
    <w:tbl>
      <w:tblPr>
        <w:tblStyle w:val="TableGrid"/>
        <w:tblW w:type="auto" w:w="0"/>
        <w:tblLayout w:type="fixed"/>
        <w:tblLook w:firstColumn="1" w:firstRow="1" w:lastColumn="0" w:lastRow="0" w:noHBand="0" w:noVBand="1" w:val="04A0"/>
      </w:tblPr>
      <w:tblGrid>
        <w:gridCol w:w="3564"/>
        <w:gridCol w:w="3564"/>
        <w:gridCol w:w="3564"/>
        <w:gridCol w:w="3564"/>
      </w:tblGrid>
      <w:tr>
        <w:trPr>
          <w:tblHeader w:val="true"/>
        </w:trP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left"/>
            </w:pPr>
            <w:r/>
            <w:r>
              <w:rPr>
                <w:rFonts w:ascii="Times New Roman" w:hAnsi="Times New Roman"/>
                <w:b/>
                <w:color w:val="FFFFFF"/>
                <w:sz w:val="17"/>
              </w:rPr>
              <w:t>Kode</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left"/>
            </w:pPr>
            <w:r/>
            <w:r>
              <w:rPr>
                <w:rFonts w:ascii="Times New Roman" w:hAnsi="Times New Roman"/>
                <w:b/>
                <w:color w:val="FFFFFF"/>
                <w:sz w:val="17"/>
              </w:rPr>
              <w:t>Produk</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left"/>
            </w:pPr>
            <w:r/>
            <w:r>
              <w:rPr>
                <w:rFonts w:ascii="Times New Roman" w:hAnsi="Times New Roman"/>
                <w:b/>
                <w:color w:val="FFFFFF"/>
                <w:sz w:val="17"/>
              </w:rPr>
              <w:t>Kode</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404040"/>
          </w:tcPr>
          <w:p>
            <w:pPr>
              <w:spacing w:after="0" w:before="0"/>
              <w:jc w:val="left"/>
            </w:pPr>
            <w:r/>
            <w:r>
              <w:rPr>
                <w:rFonts w:ascii="Times New Roman" w:hAnsi="Times New Roman"/>
                <w:b/>
                <w:color w:val="FFFFFF"/>
                <w:sz w:val="17"/>
              </w:rPr>
              <w:t>Produk</w:t>
            </w:r>
          </w:p>
        </w:tc>
      </w:tr>
      <w:t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PW-01</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t>Edukasi Pertanian</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MD-03</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t>Keripik Singkong</w:t>
            </w:r>
          </w:p>
        </w:tc>
      </w:tr>
      <w:t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PW-02</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val="0"/>
                <w:color w:val="000000"/>
                <w:sz w:val="17"/>
              </w:rPr>
              <w:t>Alam Trekking</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MD-04</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val="0"/>
                <w:color w:val="000000"/>
                <w:sz w:val="17"/>
              </w:rPr>
              <w:t>Anyaman Bambu</w:t>
            </w:r>
          </w:p>
        </w:tc>
      </w:tr>
      <w:t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PW-03</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t>Budaya Sunda</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MD-05</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t>Batik Jalatrang</w:t>
            </w:r>
          </w:p>
        </w:tc>
      </w:tr>
      <w:t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PW-04</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val="0"/>
                <w:color w:val="000000"/>
                <w:sz w:val="17"/>
              </w:rPr>
              <w:t>Foto Sawah</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MD-06</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val="0"/>
                <w:color w:val="000000"/>
                <w:sz w:val="17"/>
              </w:rPr>
              <w:t>Madu Hutan</w:t>
            </w:r>
          </w:p>
        </w:tc>
      </w:tr>
      <w:t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PW-05</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t>Seharian Penuh</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MD-07</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t>Tas Pandan</w:t>
            </w:r>
          </w:p>
        </w:tc>
      </w:tr>
      <w:t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MD-01</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val="0"/>
                <w:color w:val="000000"/>
                <w:sz w:val="17"/>
              </w:rPr>
              <w:t>Kopi Jalatrang</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color w:val="000000"/>
                <w:sz w:val="17"/>
              </w:rPr>
              <w:t>MD-08</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2F2F2"/>
          </w:tcPr>
          <w:p>
            <w:pPr>
              <w:spacing w:after="0" w:before="0"/>
              <w:jc w:val="left"/>
            </w:pPr>
            <w:r/>
            <w:r>
              <w:rPr>
                <w:rFonts w:ascii="Times New Roman" w:hAnsi="Times New Roman"/>
                <w:b w:val="0"/>
                <w:color w:val="000000"/>
                <w:sz w:val="17"/>
              </w:rPr>
              <w:t>Topi Anyaman Pandan</w:t>
            </w:r>
          </w:p>
        </w:tc>
      </w:tr>
      <w:tr>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t>MD-02</w:t>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t>Gula Aren</w:t>
            </w:r>
          </w:p>
        </w:tc>
        <w:tc>
          <w:tcPr>
            <w:tcW w:type="dxa" w:w="936"/>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color w:val="000000"/>
                <w:sz w:val="17"/>
              </w:rPr>
            </w:r>
          </w:p>
        </w:tc>
        <w:tc>
          <w:tcPr>
            <w:tcW w:type="dxa" w:w="5400"/>
            <w:vAlign w:val="center"/>
            <w:tcMar>
              <w:top w:w="70" w:type="dxa"/>
              <w:start w:w="80" w:type="dxa"/>
              <w:bottom w:w="70" w:type="dxa"/>
              <w:end w:w="80" w:type="dxa"/>
            </w:tcMar>
            <w:tcBorders>
              <w:top w:val="single" w:sz="6" w:space="0" w:color="D9D9D9"/>
              <w:left w:val="single" w:sz="6" w:space="0" w:color="D9D9D9"/>
              <w:bottom w:val="single" w:sz="6" w:space="0" w:color="D9D9D9"/>
              <w:right w:val="single" w:sz="6" w:space="0" w:color="D9D9D9"/>
            </w:tcBorders>
            <w:shd w:fill="FFFFFF"/>
          </w:tcPr>
          <w:p>
            <w:pPr>
              <w:spacing w:after="0" w:before="0"/>
              <w:jc w:val="left"/>
            </w:pPr>
            <w:r/>
            <w:r>
              <w:rPr>
                <w:rFonts w:ascii="Times New Roman" w:hAnsi="Times New Roman"/>
                <w:b w:val="0"/>
                <w:color w:val="000000"/>
                <w:sz w:val="17"/>
              </w:rPr>
            </w:r>
          </w:p>
        </w:tc>
      </w:tr>
    </w:tbl>
    <w:p>
      <w:pPr>
        <w:pStyle w:val="Heading1"/>
        <w:spacing w:after="80" w:line="288" w:lineRule="auto"/>
        <w:jc w:val="left"/>
      </w:pPr>
      <w:r>
        <w:rPr>
          <w:rFonts w:ascii="Times New Roman" w:hAnsi="Times New Roman"/>
          <w:b/>
          <w:color w:val="000000"/>
          <w:sz w:val="24"/>
        </w:rPr>
        <w:t>Penjelasan</w:t>
      </w:r>
    </w:p>
    <w:p>
      <w:pPr>
        <w:spacing w:after="0" w:line="288" w:lineRule="auto"/>
        <w:jc w:val="left"/>
      </w:pPr>
      <w:r>
        <w:rPr>
          <w:rFonts w:ascii="Times New Roman" w:hAnsi="Times New Roman"/>
          <w:b w:val="0"/>
          <w:color w:val="000000"/>
          <w:sz w:val="21"/>
        </w:rPr>
        <w:t>Setiap baris pada matriks diperlakukan sebagai satu keranjang transaksi dan setiap kolom sebagai item. Data tersebut digunakan untuk menghitung nilai support, confidence, dan lift. Hanya transaksi dengan status completed yang digunakan dalam perhitungan agar aturan rekomendasi berasal dari pemesanan yang telah selesai.</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b w:val="0"/>
        <w:color w:val="595959"/>
        <w:sz w:val="16"/>
      </w:rPr>
      <w:t>Jalatrang Wisata  |  Dokumen pendukung Bab IV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