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A365D"/>
          <w:sz w:val="22"/>
        </w:rPr>
        <w:t xml:space="preserve">Project Domain: </w:t>
      </w:r>
      <w:r>
        <w:rPr>
          <w:rFonts w:ascii="Calibri" w:hAnsi="Calibri"/>
          <w:sz w:val="22"/>
        </w:rPr>
        <w:t>VLSI Physical Design and Machine Learning for Electronic Design Automation (ML-EDA)</w:t>
      </w:r>
    </w:p>
    <w:p>
      <w:pPr>
        <w:spacing w:after="80"/>
      </w:pPr>
      <w:r>
        <w:rPr>
          <w:rFonts w:ascii="Calibri" w:hAnsi="Calibri"/>
          <w:b/>
          <w:color w:val="1A365D"/>
          <w:sz w:val="22"/>
        </w:rPr>
        <w:t xml:space="preserve">Guide Name: </w:t>
      </w:r>
      <w:r>
        <w:rPr>
          <w:rFonts w:ascii="Calibri" w:hAnsi="Calibri"/>
          <w:sz w:val="22"/>
        </w:rPr>
        <w:t>Dr. Jyotishman Saikia</w:t>
      </w:r>
    </w:p>
    <w:p>
      <w:pPr>
        <w:spacing w:after="80"/>
      </w:pPr>
      <w:r>
        <w:rPr>
          <w:rFonts w:ascii="Calibri" w:hAnsi="Calibri"/>
          <w:b/>
          <w:color w:val="1A365D"/>
          <w:sz w:val="22"/>
        </w:rPr>
        <w:t>Students: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Reg No</w:t>
            </w:r>
          </w:p>
        </w:tc>
        <w:tc>
          <w:tcPr>
            <w:tcW w:type="dxa" w:w="4896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592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CGPA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23BEC0362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K. Azaan Ahamed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8.42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23BEC0423</w:t>
            </w:r>
          </w:p>
        </w:tc>
        <w:tc>
          <w:tcPr>
            <w:tcW w:type="dxa" w:w="4896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S.S. Sreenithie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9.10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23BEC0397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Pedamallu Samanyu Reddy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7.87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0AEC0"/>
          <w:bottom w:val="single" w:sz="6" w:space="0" w:color="A0AEC0"/>
          <w:left w:val="single" w:sz="6" w:space="0" w:color="A0AEC0"/>
          <w:right w:val="single" w:sz="6" w:space="0" w:color="A0AEC0"/>
          <w:insideH w:val="single" w:sz="6" w:space="0" w:color="A0AEC0"/>
          <w:insideV w:val="single" w:sz="6" w:space="0" w:color="A0AEC0"/>
        </w:tblBorders>
      </w:tblPr>
      <w:tblGrid>
        <w:gridCol w:w="5040"/>
        <w:gridCol w:w="5040"/>
      </w:tblGrid>
      <w:tr>
        <w:tc>
          <w:tcPr>
            <w:tcW w:type="dxa" w:w="2592"/>
            <w:shd w:fill="EBF8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80"/>
            </w:pPr>
            <w:r>
              <w:rPr>
                <w:rFonts w:ascii="Calibri" w:hAnsi="Calibri"/>
                <w:b/>
                <w:color w:val="1A365D"/>
                <w:sz w:val="22"/>
              </w:rPr>
              <w:t>Motivation</w:t>
            </w:r>
          </w:p>
        </w:tc>
        <w:tc>
          <w:tcPr>
            <w:tcW w:type="dxa" w:w="7488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1A202C"/>
                <w:sz w:val="20"/>
              </w:rPr>
              <w:t xml:space="preserve">The VLSI Detailed Routing Bottleneck: </w:t>
            </w:r>
            <w:r>
              <w:rPr>
                <w:rFonts w:ascii="Calibri" w:hAnsi="Calibri"/>
                <w:color w:val="2D3748"/>
                <w:sz w:val="20"/>
              </w:rPr>
              <w:t>Modern System-on-Chip (SoC) and open-source processor architectures, such as the RISC-V RV32I 5-stage pipelined core, encounter severe Back-End-of-Line (BEOL) routing complexity as technology nodes scale into deep sub-micron regimes. In traditional VLSI physical design flows, routing congestion and Design Rule Check (DRC) violations are uncovered only after running the computationally exhaustive detailed-routing stage. Detailed routing can take hours to days on commercial EDA tools. When a design experiences unroutable congestion, designers are forced into costly, iterative rollbacks to placement and floorplanning.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1A202C"/>
                <w:sz w:val="20"/>
              </w:rPr>
              <w:t xml:space="preserve">Engineering Challenge &amp; Impact: </w:t>
            </w:r>
            <w:r>
              <w:rPr>
                <w:rFonts w:ascii="Calibri" w:hAnsi="Calibri"/>
                <w:color w:val="2D3748"/>
                <w:sz w:val="20"/>
              </w:rPr>
              <w:t>These repeated iterations waste critical design turn-around time (TAT), exhaust expensive commercial EDA tool licenses, and consume vast amounts of high-performance compute server energy. By developing a high-precision Machine Learning (ML) framework capable of predicting multi-layer routing congestion and exact track demands right after the placement stage (in under 0.1 seconds), designers can explore massive floorplan spaces instantly without invoking detailed routing.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1A202C"/>
                <w:sz w:val="20"/>
              </w:rPr>
              <w:t xml:space="preserve">UN Sustainable Development Goals (SDGs): </w:t>
            </w:r>
            <w:r>
              <w:rPr>
                <w:rFonts w:ascii="Calibri" w:hAnsi="Calibri"/>
                <w:color w:val="2D3748"/>
                <w:sz w:val="20"/>
              </w:rPr>
              <w:t>This project directly advances UN Sustainable Development Goal 9 (Industry, Innovation, and Infrastructure) by establishing an ultra-efficient, agile silicon design flow, and UN SDG 12 (Responsible Consumption and Production) by dramatically eliminating redundant, energy-intensive EDA server compute cycles.</w:t>
            </w:r>
          </w:p>
        </w:tc>
      </w:tr>
      <w:tr>
        <w:tc>
          <w:tcPr>
            <w:tcW w:type="dxa" w:w="2592"/>
            <w:shd w:fill="EBF8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80"/>
            </w:pPr>
            <w:r>
              <w:rPr>
                <w:rFonts w:ascii="Calibri" w:hAnsi="Calibri"/>
                <w:b/>
                <w:color w:val="1A365D"/>
                <w:sz w:val="22"/>
              </w:rPr>
              <w:t>Solutions for Complex Engineering Problem</w:t>
            </w:r>
          </w:p>
        </w:tc>
        <w:tc>
          <w:tcPr>
            <w:tcW w:type="dxa" w:w="7488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1A202C"/>
                <w:sz w:val="20"/>
              </w:rPr>
              <w:t xml:space="preserve">Solution 1: Full Detailed Routing Every Iteration (Traditional Approach) — </w:t>
            </w:r>
            <w:r>
              <w:rPr>
                <w:rFonts w:ascii="Calibri" w:hAnsi="Calibri"/>
                <w:color w:val="2D3748"/>
                <w:sz w:val="20"/>
              </w:rPr>
              <w:t>Run full global and detailed routing after every tentative floorplan change to detect congestion directly. While 100% physically accurate, it requires 8 to 24+ hours per configuration, making systematic design space exploration (DSE) practically impossible during early architectural phases.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1A202C"/>
                <w:sz w:val="20"/>
              </w:rPr>
              <w:t xml:space="preserve">Solution 2: Rule-Based / Heuristic Threshold Estimators — </w:t>
            </w:r>
            <w:r>
              <w:rPr>
                <w:rFonts w:ascii="Calibri" w:hAnsi="Calibri"/>
                <w:color w:val="2D3748"/>
                <w:sz w:val="20"/>
              </w:rPr>
              <w:t>Rely on fixed heuristic thresholds (e.g. bounding global core utilization to 60-70%). While instantaneous, heuristics are rigid, fail to generalize across non-standard aspect ratios, and completely overlook localized wire congestion, pin clustering, and 10-layer routing track resource allocation.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1A202C"/>
                <w:sz w:val="20"/>
              </w:rPr>
              <w:t xml:space="preserve">Solution 3: ML-Based Multi-Layer Congestion Prediction &amp; Prescriptive ECO Engine (Selected Proposed Solution) — </w:t>
            </w:r>
            <w:r>
              <w:rPr>
                <w:rFonts w:ascii="Calibri" w:hAnsi="Calibri"/>
                <w:color w:val="2D3748"/>
                <w:sz w:val="20"/>
              </w:rPr>
              <w:t>Train high-capacity Ensemble Classifiers (XGBoost &amp; Random Forest) and Multi-Target Regressors on real placement-stage physical features. This combines the instantaneous sub-second evaluation speed of a heuristic with empirical non-linear physical accuracy learned from 30,500 real RV32I design runs, predicting exact per-layer track demand (M1–M10) and automatically recommending optimal floorplan Engineering Change Order (ECO) parameter adjustments.</w:t>
            </w:r>
          </w:p>
        </w:tc>
      </w:tr>
      <w:tr>
        <w:tc>
          <w:tcPr>
            <w:tcW w:type="dxa" w:w="2592"/>
            <w:shd w:fill="EBF8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80"/>
            </w:pPr>
            <w:r>
              <w:rPr>
                <w:rFonts w:ascii="Calibri" w:hAnsi="Calibri"/>
                <w:b/>
                <w:color w:val="1A365D"/>
                <w:sz w:val="22"/>
              </w:rPr>
              <w:t>Student Competencies</w:t>
            </w:r>
          </w:p>
        </w:tc>
        <w:tc>
          <w:tcPr>
            <w:tcW w:type="dxa" w:w="7488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  <w:p>
            <w:pPr>
              <w:spacing w:after="60" w:line="276" w:lineRule="auto"/>
            </w:pPr>
            <w:r>
              <w:rPr>
                <w:rFonts w:ascii="Calibri" w:hAnsi="Calibri"/>
                <w:color w:val="2D3748"/>
                <w:sz w:val="20"/>
              </w:rPr>
              <w:t>Team Member Roles, Core Competencies, and Task Allocation: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CBD5E0"/>
                <w:bottom w:val="single" w:sz="4" w:space="0" w:color="CBD5E0"/>
                <w:left w:val="single" w:sz="4" w:space="0" w:color="CBD5E0"/>
                <w:right w:val="single" w:sz="4" w:space="0" w:color="CBD5E0"/>
                <w:insideH w:val="single" w:sz="4" w:space="0" w:color="CBD5E0"/>
                <w:insideV w:val="single" w:sz="4" w:space="0" w:color="CBD5E0"/>
              </w:tblBorders>
            </w:tblPr>
            <w:tblGrid>
              <w:gridCol w:w="2496"/>
              <w:gridCol w:w="2496"/>
              <w:gridCol w:w="2496"/>
            </w:tblGrid>
            <w:tr>
              <w:tc>
                <w:tcPr>
                  <w:tcW w:type="dxa" w:w="2016"/>
                  <w:shd w:fill="EDF2F7"/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1A202C"/>
                      <w:sz w:val="18"/>
                    </w:rPr>
                    <w:t>Name</w:t>
                  </w:r>
                </w:p>
              </w:tc>
              <w:tc>
                <w:tcPr>
                  <w:tcW w:type="dxa" w:w="2304"/>
                  <w:shd w:fill="EDF2F7"/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1A202C"/>
                      <w:sz w:val="18"/>
                    </w:rPr>
                    <w:t>Role</w:t>
                  </w:r>
                </w:p>
              </w:tc>
              <w:tc>
                <w:tcPr>
                  <w:tcW w:type="dxa" w:w="3024"/>
                  <w:shd w:fill="EDF2F7"/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1A202C"/>
                      <w:sz w:val="18"/>
                    </w:rPr>
                    <w:t>Core Technical Competency</w:t>
                  </w:r>
                </w:p>
              </w:tc>
            </w:tr>
            <w:tr>
              <w:tc>
                <w:tcPr>
                  <w:tcW w:type="dxa" w:w="2016"/>
                  <w:shd w:fill="FFFFFF"/>
                  <w:tcMar>
                    <w:top w:w="70" w:type="dxa"/>
                    <w:bottom w:w="7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K. Azaan Ahamed</w:t>
                  </w:r>
                </w:p>
              </w:tc>
              <w:tc>
                <w:tcPr>
                  <w:tcW w:type="dxa" w:w="2304"/>
                  <w:shd w:fill="FFFFFF"/>
                  <w:tcMar>
                    <w:top w:w="70" w:type="dxa"/>
                    <w:bottom w:w="7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Physical Design &amp; EDA Lead</w:t>
                  </w:r>
                </w:p>
              </w:tc>
              <w:tc>
                <w:tcPr>
                  <w:tcW w:type="dxa" w:w="3024"/>
                  <w:shd w:fill="FFFFFF"/>
                  <w:tcMar>
                    <w:top w:w="70" w:type="dxa"/>
                    <w:bottom w:w="7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VLSI Physical Design flow (Cadence Innovus/OpenROAD floorplanning, placement, routing sweeps); full-stack EDA web platform architecture and DigitalJS integration.</w:t>
                  </w:r>
                </w:p>
              </w:tc>
            </w:tr>
            <w:tr>
              <w:tc>
                <w:tcPr>
                  <w:tcW w:type="dxa" w:w="2016"/>
                  <w:shd w:fill="FFFFFF"/>
                  <w:tcMar>
                    <w:top w:w="70" w:type="dxa"/>
                    <w:bottom w:w="7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S.S. Sreenithie</w:t>
                  </w:r>
                </w:p>
              </w:tc>
              <w:tc>
                <w:tcPr>
                  <w:tcW w:type="dxa" w:w="2304"/>
                  <w:shd w:fill="FFFFFF"/>
                  <w:tcMar>
                    <w:top w:w="70" w:type="dxa"/>
                    <w:bottom w:w="7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ML Model Development Lead</w:t>
                  </w:r>
                </w:p>
              </w:tc>
              <w:tc>
                <w:tcPr>
                  <w:tcW w:type="dxa" w:w="3024"/>
                  <w:shd w:fill="FFFFFF"/>
                  <w:tcMar>
                    <w:top w:w="70" w:type="dxa"/>
                    <w:bottom w:w="7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Python, scikit-learn, XGBoost, Random Forest; dual classification &amp; multi-target regression pipeline; model training, hyperparameter tuning, and R² evaluation.</w:t>
                  </w:r>
                </w:p>
              </w:tc>
            </w:tr>
            <w:tr>
              <w:tc>
                <w:tcPr>
                  <w:tcW w:type="dxa" w:w="2016"/>
                  <w:shd w:fill="FFFFFF"/>
                  <w:tcMar>
                    <w:top w:w="70" w:type="dxa"/>
                    <w:bottom w:w="7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Pedamallu Samanyu Reddy</w:t>
                  </w:r>
                </w:p>
              </w:tc>
              <w:tc>
                <w:tcPr>
                  <w:tcW w:type="dxa" w:w="2304"/>
                  <w:shd w:fill="FFFFFF"/>
                  <w:tcMar>
                    <w:top w:w="70" w:type="dxa"/>
                    <w:bottom w:w="7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Data Engineering &amp; ECO Lead</w:t>
                  </w:r>
                </w:p>
              </w:tc>
              <w:tc>
                <w:tcPr>
                  <w:tcW w:type="dxa" w:w="3024"/>
                  <w:shd w:fill="FFFFFF"/>
                  <w:tcMar>
                    <w:top w:w="70" w:type="dxa"/>
                    <w:bottom w:w="7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Dataset preprocessing, feature engineering (pin density, HPWL, blockage metrics), coordinate-based prescriptive ECO recommendation engine, documentation.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Calibri" w:hAnsi="Calibri"/>
                <w:b/>
                <w:color w:val="2D3748"/>
                <w:sz w:val="20"/>
              </w:rPr>
              <w:t>Software Platforms &amp; Tool Ecosystem: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Calibri" w:hAnsi="Calibri"/>
                <w:b/>
                <w:color w:val="1A202C"/>
                <w:sz w:val="19"/>
              </w:rPr>
              <w:t xml:space="preserve">VLSI EDA Engines: </w:t>
            </w:r>
            <w:r>
              <w:rPr>
                <w:rFonts w:ascii="Calibri" w:hAnsi="Calibri"/>
                <w:color w:val="2D3748"/>
                <w:sz w:val="19"/>
              </w:rPr>
              <w:t>Cadence Innovus &amp; OpenROAD for physical floorplanning, cell placement, metal layer stack definition (M1–M10), and ground-truth routing generation.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Calibri" w:hAnsi="Calibri"/>
                <w:b/>
                <w:color w:val="1A202C"/>
                <w:sz w:val="19"/>
              </w:rPr>
              <w:t xml:space="preserve">Machine Learning Stack: </w:t>
            </w:r>
            <w:r>
              <w:rPr>
                <w:rFonts w:ascii="Calibri" w:hAnsi="Calibri"/>
                <w:color w:val="2D3748"/>
                <w:sz w:val="19"/>
              </w:rPr>
              <w:t>Python 3.14 with scikit-learn, XGBoost, Pandas, NumPy, and Joblib for large-scale ML model training, serialization, and inferencing.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Calibri" w:hAnsi="Calibri"/>
                <w:b/>
                <w:color w:val="1A202C"/>
                <w:sz w:val="19"/>
              </w:rPr>
              <w:t xml:space="preserve">Full-Stack EDA Workbench: </w:t>
            </w:r>
            <w:r>
              <w:rPr>
                <w:rFonts w:ascii="Calibri" w:hAnsi="Calibri"/>
                <w:color w:val="2D3748"/>
                <w:sz w:val="19"/>
              </w:rPr>
              <w:t>DigitalJS online netlist simulator, JointJS graph framework, SVG dynamic schematic generation, and Python Flask REST API.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Calibri" w:hAnsi="Calibri"/>
                <w:b/>
                <w:color w:val="1A202C"/>
                <w:sz w:val="19"/>
              </w:rPr>
              <w:t xml:space="preserve">Cloud Deployment: </w:t>
            </w:r>
            <w:r>
              <w:rPr>
                <w:rFonts w:ascii="Calibri" w:hAnsi="Calibri"/>
                <w:color w:val="2D3748"/>
                <w:sz w:val="19"/>
              </w:rPr>
              <w:t>Standalone HTML5/ES6 Single Page Application compiled and hosted on GitHub Pages for instant, zero-dependency browser access.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2D3748"/>
                <w:sz w:val="20"/>
              </w:rPr>
              <w:t>WK/WP Knowledge Profile Mapping (Supervisor Discussion):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Calibri" w:hAnsi="Calibri"/>
                <w:b/>
                <w:color w:val="1A202C"/>
                <w:sz w:val="19"/>
              </w:rPr>
              <w:t xml:space="preserve">WK1 / WP1: </w:t>
            </w:r>
            <w:r>
              <w:rPr>
                <w:rFonts w:ascii="Calibri" w:hAnsi="Calibri"/>
                <w:color w:val="2D3748"/>
                <w:sz w:val="19"/>
              </w:rPr>
              <w:t>Applying VLSI Physical Design fundamentals to establish physical constraints, standard cell placements, and BEOL track definitions.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Calibri" w:hAnsi="Calibri"/>
                <w:b/>
                <w:color w:val="1A202C"/>
                <w:sz w:val="19"/>
              </w:rPr>
              <w:t xml:space="preserve">WK2 / WP2: </w:t>
            </w:r>
            <w:r>
              <w:rPr>
                <w:rFonts w:ascii="Calibri" w:hAnsi="Calibri"/>
                <w:color w:val="2D3748"/>
                <w:sz w:val="19"/>
              </w:rPr>
              <w:t>Formulating domain-specific physical feature representations (Pin Density, HPWL, Macro Blockage, Via Density) across 30,500 design runs.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Calibri" w:hAnsi="Calibri"/>
                <w:b/>
                <w:color w:val="1A202C"/>
                <w:sz w:val="19"/>
              </w:rPr>
              <w:t xml:space="preserve">WK3 / WP3: </w:t>
            </w:r>
            <w:r>
              <w:rPr>
                <w:rFonts w:ascii="Calibri" w:hAnsi="Calibri"/>
                <w:color w:val="2D3748"/>
                <w:sz w:val="19"/>
              </w:rPr>
              <w:t>Designing multi-output ensemble classifiers and regressors evaluated with Stratified 80:20 Train-Test splits, achieving &gt;99% accuracy.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Calibri" w:hAnsi="Calibri"/>
                <w:b/>
                <w:color w:val="1A202C"/>
                <w:sz w:val="19"/>
              </w:rPr>
              <w:t xml:space="preserve">WK4 / WP4: </w:t>
            </w:r>
            <w:r>
              <w:rPr>
                <w:rFonts w:ascii="Calibri" w:hAnsi="Calibri"/>
                <w:color w:val="2D3748"/>
                <w:sz w:val="19"/>
              </w:rPr>
              <w:t>Building an automated prescriptive floorplan ECO optimization engine and deploying a live interactive EDA workbench with gate-to-RTL cross-probing.</w:t>
            </w:r>
          </w:p>
        </w:tc>
      </w:tr>
      <w:tr>
        <w:tc>
          <w:tcPr>
            <w:tcW w:type="dxa" w:w="2592"/>
            <w:shd w:fill="EBF8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80"/>
            </w:pPr>
            <w:r>
              <w:rPr>
                <w:rFonts w:ascii="Calibri" w:hAnsi="Calibri"/>
                <w:b/>
                <w:color w:val="1A365D"/>
                <w:sz w:val="22"/>
              </w:rPr>
              <w:t>Capstone Project Problem Statement</w:t>
            </w:r>
          </w:p>
        </w:tc>
        <w:tc>
          <w:tcPr>
            <w:tcW w:type="dxa" w:w="7488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1A202C"/>
                <w:sz w:val="20"/>
              </w:rPr>
              <w:t xml:space="preserve">Core Problem Formulation &amp; Justification: </w:t>
            </w:r>
            <w:r>
              <w:rPr>
                <w:rFonts w:ascii="Calibri" w:hAnsi="Calibri"/>
                <w:color w:val="2D3748"/>
                <w:sz w:val="20"/>
              </w:rPr>
              <w:t>Solution 3 (ML-Based Multi-Layer Congestion Prediction &amp; Prescriptive ECO Engine) is definitively selected. It resolves the core tradeoff between execution latency and estimation accuracy: unlike detailed routing which takes hours to days, our ML predictor evaluates any floorplan in under 0.1 seconds; unlike crude rule-based heuristics, it models intricate, non-linear physical interactions across cell densities, pin clusters, aspect ratios, and 10 individual metal routing layers.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1A202C"/>
                <w:sz w:val="20"/>
              </w:rPr>
              <w:t xml:space="preserve">Beyond Prediction — Closed-Loop Remediation: </w:t>
            </w:r>
            <w:r>
              <w:rPr>
                <w:rFonts w:ascii="Calibri" w:hAnsi="Calibri"/>
                <w:color w:val="2D3748"/>
                <w:sz w:val="20"/>
              </w:rPr>
              <w:t>Furthermore, this project closes the engineering loop: rather than merely alerting the designer that a floorplan is congested, the integrated Prescriptive ECO Engine automatically computes the exact, minimal physical adjustments to the floorplan parameters needed to eliminate congestion, while the interactive gate-level DigitalJS workbench allows cycle-accurate RTL verification.</w:t>
            </w:r>
          </w:p>
        </w:tc>
      </w:tr>
      <w:tr>
        <w:tc>
          <w:tcPr>
            <w:tcW w:type="dxa" w:w="2592"/>
            <w:shd w:fill="EBF8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80"/>
            </w:pPr>
            <w:r>
              <w:rPr>
                <w:rFonts w:ascii="Calibri" w:hAnsi="Calibri"/>
                <w:b/>
                <w:color w:val="1A365D"/>
                <w:sz w:val="22"/>
              </w:rPr>
              <w:t>Title, Objectives &amp; Abstract</w:t>
            </w:r>
          </w:p>
        </w:tc>
        <w:tc>
          <w:tcPr>
            <w:tcW w:type="dxa" w:w="7488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1A202C"/>
                <w:sz w:val="20"/>
              </w:rPr>
              <w:t xml:space="preserve">Project Title: </w:t>
            </w:r>
            <w:r>
              <w:rPr>
                <w:rFonts w:ascii="Calibri" w:hAnsi="Calibri"/>
                <w:color w:val="2D3748"/>
                <w:sz w:val="20"/>
              </w:rPr>
              <w:t>Interactive ML-Driven Routing Congestion Prediction, Layer-Wise BEOL Hotspot Mapping, and Prescriptive Floorplan ECO Optimization for RISC-V (RV32I) Physical Design</w:t>
            </w:r>
          </w:p>
          <w:p>
            <w:pPr>
              <w:spacing w:before="100" w:after="40"/>
            </w:pPr>
            <w:r>
              <w:rPr>
                <w:rFonts w:ascii="Calibri" w:hAnsi="Calibri"/>
                <w:b/>
                <w:color w:val="2D3748"/>
                <w:sz w:val="20"/>
              </w:rPr>
              <w:t>Technical Objectives: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Calibri" w:hAnsi="Calibri"/>
                <w:b/>
                <w:color w:val="1A202C"/>
                <w:sz w:val="19"/>
              </w:rPr>
              <w:t xml:space="preserve">1. High-Density Dataset Generation: </w:t>
            </w:r>
            <w:r>
              <w:rPr>
                <w:rFonts w:ascii="Calibri" w:hAnsi="Calibri"/>
                <w:color w:val="2D3748"/>
                <w:sz w:val="19"/>
              </w:rPr>
              <w:t>Generate a comprehensive, 30,500-run placement-stage dataset for the RV32I processor core across wide parameter sweeps in utilization (20–99%), aspect ratio (0.2–4.0), core margin (0.2–5.0µm), cell density (0.45–0.98), and layer adjustment (0.05–0.80).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Calibri" w:hAnsi="Calibri"/>
                <w:b/>
                <w:color w:val="1A202C"/>
                <w:sz w:val="19"/>
              </w:rPr>
              <w:t xml:space="preserve">2. Physical Feature Engineering: </w:t>
            </w:r>
            <w:r>
              <w:rPr>
                <w:rFonts w:ascii="Calibri" w:hAnsi="Calibri"/>
                <w:color w:val="2D3748"/>
                <w:sz w:val="19"/>
              </w:rPr>
              <w:t>Develop domain-specific feature engineering modules incorporating physical design metrics: Pin Density, Half-Perimeter Wire Length (HPWL), Macro Blockage, and Via Pillar Density.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Calibri" w:hAnsi="Calibri"/>
                <w:b/>
                <w:color w:val="1A202C"/>
                <w:sz w:val="19"/>
              </w:rPr>
              <w:t xml:space="preserve">3. High-Accuracy Feasibility Classification: </w:t>
            </w:r>
            <w:r>
              <w:rPr>
                <w:rFonts w:ascii="Calibri" w:hAnsi="Calibri"/>
                <w:color w:val="2D3748"/>
                <w:sz w:val="19"/>
              </w:rPr>
              <w:t>Train and evaluate dual ensemble models (XGBoost Classifier vs Random Forest Classifier) on held-out test splits, achieving over 99% accuracy in predicting routing feasibility.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Calibri" w:hAnsi="Calibri"/>
                <w:b/>
                <w:color w:val="1A202C"/>
                <w:sz w:val="19"/>
              </w:rPr>
              <w:t xml:space="preserve">4. Multi-Layer Track Demand Regression: </w:t>
            </w:r>
            <w:r>
              <w:rPr>
                <w:rFonts w:ascii="Calibri" w:hAnsi="Calibri"/>
                <w:color w:val="2D3748"/>
                <w:sz w:val="19"/>
              </w:rPr>
              <w:t>Implement multi-target regressors across all 10 BEOL metal layers (Metal 1 through Metal 10) plus total routing demand, capturing exact wire track consumption with R² scores exceeding 0.988.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Calibri" w:hAnsi="Calibri"/>
                <w:b/>
                <w:color w:val="1A202C"/>
                <w:sz w:val="19"/>
              </w:rPr>
              <w:t xml:space="preserve">5. Spatial Hotspot Mapping: </w:t>
            </w:r>
            <w:r>
              <w:rPr>
                <w:rFonts w:ascii="Calibri" w:hAnsi="Calibri"/>
                <w:color w:val="2D3748"/>
                <w:sz w:val="19"/>
              </w:rPr>
              <w:t>Train a multi-output Spatial Hotspot Neural Network (MLP) to predict 2D die congestion heatmaps and coordinate-level routing bottlenecks.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Calibri" w:hAnsi="Calibri"/>
                <w:b/>
                <w:color w:val="1A202C"/>
                <w:sz w:val="19"/>
              </w:rPr>
              <w:t xml:space="preserve">6. Prescriptive ECO Optimization: </w:t>
            </w:r>
            <w:r>
              <w:rPr>
                <w:rFonts w:ascii="Calibri" w:hAnsi="Calibri"/>
                <w:color w:val="2D3748"/>
                <w:sz w:val="19"/>
              </w:rPr>
              <w:t>Develop an automated, coordinate-search Prescriptive Floorplan ECO Engine to recommend the exact minimal parameter adjustments that bring congested layers under 100% capacity.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Calibri" w:hAnsi="Calibri"/>
                <w:b/>
                <w:color w:val="1A202C"/>
                <w:sz w:val="19"/>
              </w:rPr>
              <w:t xml:space="preserve">7. Interactive Cloud EDA Platform: </w:t>
            </w:r>
            <w:r>
              <w:rPr>
                <w:rFonts w:ascii="Calibri" w:hAnsi="Calibri"/>
                <w:color w:val="2D3748"/>
                <w:sz w:val="19"/>
              </w:rPr>
              <w:t>Build and deploy an interactive, zero-dependency web EDA platform featuring live in-browser Verilog synthesis, DigitalJS cycle-accurate simulation, and bidirectional gate-to-RTL cross-probing.</w:t>
            </w:r>
          </w:p>
          <w:p>
            <w:pPr>
              <w:spacing w:before="100" w:after="40"/>
            </w:pPr>
            <w:r>
              <w:rPr>
                <w:rFonts w:ascii="Calibri" w:hAnsi="Calibri"/>
                <w:b/>
                <w:color w:val="2D3748"/>
                <w:sz w:val="20"/>
              </w:rPr>
              <w:t>Abstract: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2D3748"/>
                <w:sz w:val="20"/>
              </w:rPr>
              <w:t>This project presents an end-to-end Machine Learning-driven Electronic Design Automation (ML-EDA) framework for early-stage routing congestion prediction and closed-loop floorplan optimization on the RISC-V RV32I processor core. Late-stage routing congestion discovery forces costly design iterations back to placement, wasting designer time, EDA licenses, and server power. To eliminate this bottleneck, a large-scale dataset of 30,500 real physical design runs was constructed through systematic sweeps across core utilization, aspect ratio, margins, cell density, and metal layer resources. Domain-specific physical metrics—including Pin Density, HPWL Wirelength, Macro Blockage, and Via Pillar Density—were engineered to capture geometric silicon behavior. Dual ensemble models were developed: an XGBoost Classifier achieving 99.15% accuracy and a Random Forest Classifier achieving 99.10% accuracy on held-out test data. In addition, multi-target regressors were trained across all 10 BEOL metal layers (M1 to M10), achieving an outstanding average R² of 0.9886 and exact track demand predictions. To close the design loop, a Prescriptive ECO Recommendation Engine was built to compute the minimal physical parameter modifications required to bring all congested metal layers within routable thresholds. The entire framework is deployed as a production-ready, interactive web platform featuring a live DigitalJS gate-level netlist simulator, bidirectional gate-to-RTL cross-probing, and real-time 2D/3D BEOL heatmaps, enabling instantaneous, zero-install physical design space exploration.</w:t>
            </w:r>
          </w:p>
        </w:tc>
      </w:tr>
      <w:tr>
        <w:tc>
          <w:tcPr>
            <w:tcW w:type="dxa" w:w="2592"/>
            <w:shd w:fill="EBF8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80"/>
            </w:pPr>
            <w:r>
              <w:rPr>
                <w:rFonts w:ascii="Calibri" w:hAnsi="Calibri"/>
                <w:b/>
                <w:color w:val="1A365D"/>
                <w:sz w:val="22"/>
              </w:rPr>
              <w:t>Implementation, Methodology &amp; Benchmark Results</w:t>
            </w:r>
          </w:p>
        </w:tc>
        <w:tc>
          <w:tcPr>
            <w:tcW w:type="dxa" w:w="7488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  <w:p>
            <w:pPr>
              <w:spacing w:before="40" w:after="40"/>
            </w:pPr>
            <w:r>
              <w:rPr>
                <w:rFonts w:ascii="Calibri" w:hAnsi="Calibri"/>
                <w:b/>
                <w:color w:val="2D3748"/>
                <w:sz w:val="20"/>
              </w:rPr>
              <w:t>1. Dataset Distribution &amp; Physical Parameter Domain: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2D3748"/>
                <w:sz w:val="20"/>
              </w:rPr>
              <w:t>The generated dataset consists of 30,500 physical design runs spanning 42 extracted parameters. The dataset exhibits a balanced distribution: 17,356 routable designs (56.9%) and 13,144 congested designs (43.1%), ensuring robust classification without synthetic skew. Parameters range from 20% to 99% utilization, 0.2 to 4.0 aspect ratio, 0.2 to 5.0µm margin, and 0.45 to 0.98 density.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2D3748"/>
                <w:sz w:val="20"/>
              </w:rPr>
              <w:t>2. Domain-Specific Physical Feature Engineering: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Pin Density = Utilization × Density × 1.85 (Models local pin congestion at standard cell boundaries).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HPWL Wirelength = √(max(0.1, Util × Aspect)) × Margin × 14.2 (Estimates Half-Perimeter Wire Length demand).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Macro Blockage = (1.0 - Density) × (Util / 100.0) (Models routing corridor blockage caused by macro placement).</w:t>
            </w:r>
          </w:p>
          <w:p>
            <w:pPr>
              <w:pStyle w:val="ListBullet"/>
              <w:spacing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Via Pillar Density = Density × Layer_Adj × 1.25 (Captures interlayer via blockage across the vertical metal stack).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2D3748"/>
                <w:sz w:val="20"/>
              </w:rPr>
              <w:t>3. ML Classifier Performance Comparison [Table-1]: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CBD5E0"/>
                <w:bottom w:val="single" w:sz="4" w:space="0" w:color="CBD5E0"/>
                <w:left w:val="single" w:sz="4" w:space="0" w:color="CBD5E0"/>
                <w:right w:val="single" w:sz="4" w:space="0" w:color="CBD5E0"/>
                <w:insideH w:val="single" w:sz="4" w:space="0" w:color="CBD5E0"/>
                <w:insideV w:val="single" w:sz="4" w:space="0" w:color="CBD5E0"/>
              </w:tblBorders>
            </w:tblPr>
            <w:tblGrid>
              <w:gridCol w:w="1872"/>
              <w:gridCol w:w="1872"/>
              <w:gridCol w:w="1872"/>
              <w:gridCol w:w="1872"/>
            </w:tblGrid>
            <w:tr>
              <w:tc>
                <w:tcPr>
                  <w:tcW w:type="dxa" w:w="2592"/>
                  <w:shd w:fill="EDF2F7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1A202C"/>
                      <w:sz w:val="17"/>
                    </w:rPr>
                    <w:t>Model Architecture</w:t>
                  </w:r>
                </w:p>
              </w:tc>
              <w:tc>
                <w:tcPr>
                  <w:tcW w:type="dxa" w:w="1584"/>
                  <w:shd w:fill="EDF2F7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1A202C"/>
                      <w:sz w:val="17"/>
                    </w:rPr>
                    <w:t>Test Accuracy</w:t>
                  </w:r>
                </w:p>
              </w:tc>
              <w:tc>
                <w:tcPr>
                  <w:tcW w:type="dxa" w:w="1728"/>
                  <w:shd w:fill="EDF2F7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1A202C"/>
                      <w:sz w:val="17"/>
                    </w:rPr>
                    <w:t>Precision / Recall</w:t>
                  </w:r>
                </w:p>
              </w:tc>
              <w:tc>
                <w:tcPr>
                  <w:tcW w:type="dxa" w:w="1584"/>
                  <w:shd w:fill="EDF2F7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1A202C"/>
                      <w:sz w:val="17"/>
                    </w:rPr>
                    <w:t>Inference Latency</w:t>
                  </w:r>
                </w:p>
              </w:tc>
            </w:tr>
            <w:tr>
              <w:tc>
                <w:tcPr>
                  <w:tcW w:type="dxa" w:w="2592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XGBoost Classifier (120 trees, depth 6)</w:t>
                  </w:r>
                </w:p>
              </w:tc>
              <w:tc>
                <w:tcPr>
                  <w:tcW w:type="dxa" w:w="1584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99.15%</w:t>
                  </w:r>
                </w:p>
              </w:tc>
              <w:tc>
                <w:tcPr>
                  <w:tcW w:type="dxa" w:w="1728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99.2% / 99.1%</w:t>
                  </w:r>
                </w:p>
              </w:tc>
              <w:tc>
                <w:tcPr>
                  <w:tcW w:type="dxa" w:w="1584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&lt; 4 ms</w:t>
                  </w:r>
                </w:p>
              </w:tc>
            </w:tr>
            <w:tr>
              <w:tc>
                <w:tcPr>
                  <w:tcW w:type="dxa" w:w="2592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Random Forest (100 trees, depth 12)</w:t>
                  </w:r>
                </w:p>
              </w:tc>
              <w:tc>
                <w:tcPr>
                  <w:tcW w:type="dxa" w:w="1584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99.10%</w:t>
                  </w:r>
                </w:p>
              </w:tc>
              <w:tc>
                <w:tcPr>
                  <w:tcW w:type="dxa" w:w="1728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99.1% / 99.0%</w:t>
                  </w:r>
                </w:p>
              </w:tc>
              <w:tc>
                <w:tcPr>
                  <w:tcW w:type="dxa" w:w="1584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&lt; 12 ms</w:t>
                  </w:r>
                </w:p>
              </w:tc>
            </w:tr>
            <w:tr>
              <w:tc>
                <w:tcPr>
                  <w:tcW w:type="dxa" w:w="2592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Baseline Logistic Regression / Heuristic</w:t>
                  </w:r>
                </w:p>
              </w:tc>
              <w:tc>
                <w:tcPr>
                  <w:tcW w:type="dxa" w:w="1584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81.40%</w:t>
                  </w:r>
                </w:p>
              </w:tc>
              <w:tc>
                <w:tcPr>
                  <w:tcW w:type="dxa" w:w="1728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79.5% / 82.0%</w:t>
                  </w:r>
                </w:p>
              </w:tc>
              <w:tc>
                <w:tcPr>
                  <w:tcW w:type="dxa" w:w="1584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&lt; 1 ms</w:t>
                  </w:r>
                </w:p>
              </w:tc>
            </w:tr>
          </w:tbl>
          <w:p/>
          <w:p>
            <w:pPr>
              <w:spacing w:before="100" w:after="40"/>
            </w:pPr>
            <w:r>
              <w:rPr>
                <w:rFonts w:ascii="Calibri" w:hAnsi="Calibri"/>
                <w:b/>
                <w:color w:val="2D3748"/>
                <w:sz w:val="20"/>
              </w:rPr>
              <w:t>4. Multi-Layer Track Demand Regressor Metrics [Table-2]: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CBD5E0"/>
                <w:bottom w:val="single" w:sz="4" w:space="0" w:color="CBD5E0"/>
                <w:left w:val="single" w:sz="4" w:space="0" w:color="CBD5E0"/>
                <w:right w:val="single" w:sz="4" w:space="0" w:color="CBD5E0"/>
                <w:insideH w:val="single" w:sz="4" w:space="0" w:color="CBD5E0"/>
                <w:insideV w:val="single" w:sz="4" w:space="0" w:color="CBD5E0"/>
              </w:tblBorders>
            </w:tblPr>
            <w:tblGrid>
              <w:gridCol w:w="1498"/>
              <w:gridCol w:w="1498"/>
              <w:gridCol w:w="1498"/>
              <w:gridCol w:w="1498"/>
              <w:gridCol w:w="1498"/>
            </w:tblGrid>
            <w:tr>
              <w:tc>
                <w:tcPr>
                  <w:tcW w:type="dxa" w:w="1440"/>
                  <w:shd w:fill="EDF2F7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1A202C"/>
                      <w:sz w:val="17"/>
                    </w:rPr>
                    <w:t>Layer</w:t>
                  </w:r>
                </w:p>
              </w:tc>
              <w:tc>
                <w:tcPr>
                  <w:tcW w:type="dxa" w:w="1584"/>
                  <w:shd w:fill="EDF2F7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1A202C"/>
                      <w:sz w:val="17"/>
                    </w:rPr>
                    <w:t>Track Resource</w:t>
                  </w:r>
                </w:p>
              </w:tc>
              <w:tc>
                <w:tcPr>
                  <w:tcW w:type="dxa" w:w="1440"/>
                  <w:shd w:fill="EDF2F7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1A202C"/>
                      <w:sz w:val="17"/>
                    </w:rPr>
                    <w:t>XGBoost R²</w:t>
                  </w:r>
                </w:p>
              </w:tc>
              <w:tc>
                <w:tcPr>
                  <w:tcW w:type="dxa" w:w="1440"/>
                  <w:shd w:fill="EDF2F7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1A202C"/>
                      <w:sz w:val="17"/>
                    </w:rPr>
                    <w:t>RF R²</w:t>
                  </w:r>
                </w:p>
              </w:tc>
              <w:tc>
                <w:tcPr>
                  <w:tcW w:type="dxa" w:w="1584"/>
                  <w:shd w:fill="EDF2F7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1A202C"/>
                      <w:sz w:val="17"/>
                    </w:rPr>
                    <w:t>MAE (Tracks)</w:t>
                  </w:r>
                </w:p>
              </w:tc>
            </w:tr>
            <w:tr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Metal 1 (M1)</w:t>
                  </w:r>
                </w:p>
              </w:tc>
              <w:tc>
                <w:tcPr>
                  <w:tcW w:type="dxa" w:w="1584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0 tracks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1.0000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1.0000</w:t>
                  </w:r>
                </w:p>
              </w:tc>
              <w:tc>
                <w:tcPr>
                  <w:tcW w:type="dxa" w:w="1584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0.0 tracks</w:t>
                  </w:r>
                </w:p>
              </w:tc>
            </w:tr>
            <w:tr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Metal 2 (M2)</w:t>
                  </w:r>
                </w:p>
              </w:tc>
              <w:tc>
                <w:tcPr>
                  <w:tcW w:type="dxa" w:w="1584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27,540 tracks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0.9878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0.9845</w:t>
                  </w:r>
                </w:p>
              </w:tc>
              <w:tc>
                <w:tcPr>
                  <w:tcW w:type="dxa" w:w="1584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262.5 tracks</w:t>
                  </w:r>
                </w:p>
              </w:tc>
            </w:tr>
            <w:tr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Metal 3 (M3)</w:t>
                  </w:r>
                </w:p>
              </w:tc>
              <w:tc>
                <w:tcPr>
                  <w:tcW w:type="dxa" w:w="1584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37,222 tracks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0.9802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0.9780</w:t>
                  </w:r>
                </w:p>
              </w:tc>
              <w:tc>
                <w:tcPr>
                  <w:tcW w:type="dxa" w:w="1584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285.0 tracks</w:t>
                  </w:r>
                </w:p>
              </w:tc>
            </w:tr>
            <w:tr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Metal 4 (M4)</w:t>
                  </w:r>
                </w:p>
              </w:tc>
              <w:tc>
                <w:tcPr>
                  <w:tcW w:type="dxa" w:w="1584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18,450 tracks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0.9745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0.9712</w:t>
                  </w:r>
                </w:p>
              </w:tc>
              <w:tc>
                <w:tcPr>
                  <w:tcW w:type="dxa" w:w="1584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199.1 tracks</w:t>
                  </w:r>
                </w:p>
              </w:tc>
            </w:tr>
            <w:tr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Metal 7 (M7)</w:t>
                  </w:r>
                </w:p>
              </w:tc>
              <w:tc>
                <w:tcPr>
                  <w:tcW w:type="dxa" w:w="1584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5,699 tracks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0.9940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0.9921</w:t>
                  </w:r>
                </w:p>
              </w:tc>
              <w:tc>
                <w:tcPr>
                  <w:tcW w:type="dxa" w:w="1584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34.2 tracks</w:t>
                  </w:r>
                </w:p>
              </w:tc>
            </w:tr>
            <w:tr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Total Demand</w:t>
                  </w:r>
                </w:p>
              </w:tc>
              <w:tc>
                <w:tcPr>
                  <w:tcW w:type="dxa" w:w="1584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136,541 tracks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0.9867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0.9840</w:t>
                  </w:r>
                </w:p>
              </w:tc>
              <w:tc>
                <w:tcPr>
                  <w:tcW w:type="dxa" w:w="1584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466.3 tracks</w:t>
                  </w:r>
                </w:p>
              </w:tc>
            </w:tr>
          </w:tbl>
          <w:p/>
          <w:p>
            <w:pPr>
              <w:spacing w:before="100" w:after="40"/>
            </w:pPr>
            <w:r>
              <w:rPr>
                <w:rFonts w:ascii="Calibri" w:hAnsi="Calibri"/>
                <w:b/>
                <w:color w:val="2D3748"/>
                <w:sz w:val="20"/>
              </w:rPr>
              <w:t>5. Prescriptive ECO Optimization Engine: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2D3748"/>
                <w:sz w:val="20"/>
              </w:rPr>
              <w:t>When an unroutable configuration is flagged, the recommendation engine (recommend.py) executes a normalized coordinate grid search across the 5 design parameters. It evaluates candidate floorplans within physical bounds and scores them using a weighted Euclidean distance metric. It returns the smallest physical perturbation (e.g., reducing utilization by 4.2% and adjusting aspect ratio by +0.15) that eliminates congestion across all layers without designer guesswork.</w:t>
            </w:r>
          </w:p>
          <w:p>
            <w:pPr>
              <w:spacing w:before="100" w:after="40"/>
            </w:pPr>
            <w:r>
              <w:rPr>
                <w:rFonts w:ascii="Calibri" w:hAnsi="Calibri"/>
                <w:b/>
                <w:color w:val="2D3748"/>
                <w:sz w:val="20"/>
              </w:rPr>
              <w:t>6. Interactive Web EDA Workbench &amp; DigitalJS Gate-Level Simulation: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2D3748"/>
                <w:sz w:val="20"/>
              </w:rPr>
              <w:t>A full-featured web EDA workbench was constructed and deployed on GitHub Pages. Key features include: (a) In-browser syntax-highlighted Verilog HDL code editor; (b) Embedded cycle-accurate DigitalJS Netlist Simulator with pause/resume and step controls; (c) Bidirectional Cross-Probing between circuit gates and Verilog code lines; (d) Interactive 2D and 3D BEOL metal layer heatmaps with live DRC bottleneck diagnostics.</w:t>
            </w:r>
          </w:p>
        </w:tc>
      </w:tr>
      <w:tr>
        <w:tc>
          <w:tcPr>
            <w:tcW w:type="dxa" w:w="2592"/>
            <w:shd w:fill="EBF8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80"/>
            </w:pPr>
            <w:r>
              <w:rPr>
                <w:rFonts w:ascii="Calibri" w:hAnsi="Calibri"/>
                <w:b/>
                <w:color w:val="1A365D"/>
                <w:sz w:val="22"/>
              </w:rPr>
              <w:t>Budget and Plan</w:t>
            </w:r>
          </w:p>
        </w:tc>
        <w:tc>
          <w:tcPr>
            <w:tcW w:type="dxa" w:w="7488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  <w:p>
            <w:pPr>
              <w:spacing w:before="40" w:after="40"/>
            </w:pPr>
            <w:r>
              <w:rPr>
                <w:rFonts w:ascii="Calibri" w:hAnsi="Calibri"/>
                <w:b/>
                <w:color w:val="2D3748"/>
                <w:sz w:val="20"/>
              </w:rPr>
              <w:t>Cost Analysis and Final Budget [Table-3]: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CBD5E0"/>
                <w:bottom w:val="single" w:sz="4" w:space="0" w:color="CBD5E0"/>
                <w:left w:val="single" w:sz="4" w:space="0" w:color="CBD5E0"/>
                <w:right w:val="single" w:sz="4" w:space="0" w:color="CBD5E0"/>
                <w:insideH w:val="single" w:sz="4" w:space="0" w:color="CBD5E0"/>
                <w:insideV w:val="single" w:sz="4" w:space="0" w:color="CBD5E0"/>
              </w:tblBorders>
            </w:tblPr>
            <w:tblGrid>
              <w:gridCol w:w="2496"/>
              <w:gridCol w:w="2496"/>
              <w:gridCol w:w="2496"/>
            </w:tblGrid>
            <w:tr>
              <w:tc>
                <w:tcPr>
                  <w:tcW w:type="dxa" w:w="3168"/>
                  <w:shd w:fill="EDF2F7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1A202C"/>
                      <w:sz w:val="17"/>
                    </w:rPr>
                    <w:t>Item</w:t>
                  </w:r>
                </w:p>
              </w:tc>
              <w:tc>
                <w:tcPr>
                  <w:tcW w:type="dxa" w:w="2880"/>
                  <w:shd w:fill="EDF2F7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1A202C"/>
                      <w:sz w:val="17"/>
                    </w:rPr>
                    <w:t>Description</w:t>
                  </w:r>
                </w:p>
              </w:tc>
              <w:tc>
                <w:tcPr>
                  <w:tcW w:type="dxa" w:w="1440"/>
                  <w:shd w:fill="EDF2F7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1A202C"/>
                      <w:sz w:val="17"/>
                    </w:rPr>
                    <w:t>Estimated Cost (INR)</w:t>
                  </w:r>
                </w:p>
              </w:tc>
            </w:tr>
            <w:tr>
              <w:tc>
                <w:tcPr>
                  <w:tcW w:type="dxa" w:w="3168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EDA/PD Tools (Cadence Innovus / OpenROAD)</w:t>
                  </w:r>
                </w:p>
              </w:tc>
              <w:tc>
                <w:tcPr>
                  <w:tcW w:type="dxa" w:w="288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Institute-licensed VIT VLSI Lab &amp; Open-Source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0</w:t>
                  </w:r>
                </w:p>
              </w:tc>
            </w:tr>
            <w:tr>
              <w:tc>
                <w:tcPr>
                  <w:tcW w:type="dxa" w:w="3168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ML Software Stack (Python, XGBoost, Scikit)</w:t>
                  </w:r>
                </w:p>
              </w:tc>
              <w:tc>
                <w:tcPr>
                  <w:tcW w:type="dxa" w:w="288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Open-source scientific libraries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0</w:t>
                  </w:r>
                </w:p>
              </w:tc>
            </w:tr>
            <w:tr>
              <w:tc>
                <w:tcPr>
                  <w:tcW w:type="dxa" w:w="3168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Compute Infrastructure (Workstations)</w:t>
                  </w:r>
                </w:p>
              </w:tc>
              <w:tc>
                <w:tcPr>
                  <w:tcW w:type="dxa" w:w="288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Local workstation &amp; institutional compute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0</w:t>
                  </w:r>
                </w:p>
              </w:tc>
            </w:tr>
            <w:tr>
              <w:tc>
                <w:tcPr>
                  <w:tcW w:type="dxa" w:w="3168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Web Hosting &amp; Deployment (GitHub Pages)</w:t>
                  </w:r>
                </w:p>
              </w:tc>
              <w:tc>
                <w:tcPr>
                  <w:tcW w:type="dxa" w:w="288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Cloud public repository hosting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0</w:t>
                  </w:r>
                </w:p>
              </w:tc>
            </w:tr>
            <w:tr>
              <w:tc>
                <w:tcPr>
                  <w:tcW w:type="dxa" w:w="3168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Documentation &amp; Miscellaneous</w:t>
                  </w:r>
                </w:p>
              </w:tc>
              <w:tc>
                <w:tcPr>
                  <w:tcW w:type="dxa" w:w="288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Report printing, data storage, backups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1,000</w:t>
                  </w:r>
                </w:p>
              </w:tc>
            </w:tr>
          </w:tbl>
          <w:p/>
          <w:p>
            <w:pPr>
              <w:spacing w:before="100" w:after="40"/>
            </w:pPr>
            <w:r>
              <w:rPr>
                <w:rFonts w:ascii="Calibri" w:hAnsi="Calibri"/>
                <w:b/>
                <w:color w:val="2D3748"/>
                <w:sz w:val="20"/>
              </w:rPr>
              <w:t>Manpower Calculation &amp; Actual Hours Invested [Table-4]: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CBD5E0"/>
                <w:bottom w:val="single" w:sz="4" w:space="0" w:color="CBD5E0"/>
                <w:left w:val="single" w:sz="4" w:space="0" w:color="CBD5E0"/>
                <w:right w:val="single" w:sz="4" w:space="0" w:color="CBD5E0"/>
                <w:insideH w:val="single" w:sz="4" w:space="0" w:color="CBD5E0"/>
                <w:insideV w:val="single" w:sz="4" w:space="0" w:color="CBD5E0"/>
              </w:tblBorders>
            </w:tblPr>
            <w:tblGrid>
              <w:gridCol w:w="2496"/>
              <w:gridCol w:w="2496"/>
              <w:gridCol w:w="2496"/>
            </w:tblGrid>
            <w:tr>
              <w:tc>
                <w:tcPr>
                  <w:tcW w:type="dxa" w:w="2160"/>
                  <w:shd w:fill="EDF2F7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1A202C"/>
                      <w:sz w:val="17"/>
                    </w:rPr>
                    <w:t>Name</w:t>
                  </w:r>
                </w:p>
              </w:tc>
              <w:tc>
                <w:tcPr>
                  <w:tcW w:type="dxa" w:w="3888"/>
                  <w:shd w:fill="EDF2F7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1A202C"/>
                      <w:sz w:val="17"/>
                    </w:rPr>
                    <w:t>Core Task Allocation</w:t>
                  </w:r>
                </w:p>
              </w:tc>
              <w:tc>
                <w:tcPr>
                  <w:tcW w:type="dxa" w:w="1440"/>
                  <w:shd w:fill="EDF2F7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color w:val="1A202C"/>
                      <w:sz w:val="17"/>
                    </w:rPr>
                    <w:t>Hours Invested</w:t>
                  </w:r>
                </w:p>
              </w:tc>
            </w:tr>
            <w:tr>
              <w:tc>
                <w:tcPr>
                  <w:tcW w:type="dxa" w:w="216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K. Azaan Ahamed</w:t>
                  </w:r>
                </w:p>
              </w:tc>
              <w:tc>
                <w:tcPr>
                  <w:tcW w:type="dxa" w:w="3888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PD flow sweeps, 30,500 dataset runs, web EDA app architecture, DigitalJS integration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95 hrs</w:t>
                  </w:r>
                </w:p>
              </w:tc>
            </w:tr>
            <w:tr>
              <w:tc>
                <w:tcPr>
                  <w:tcW w:type="dxa" w:w="216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S.S. Sreenithie</w:t>
                  </w:r>
                </w:p>
              </w:tc>
              <w:tc>
                <w:tcPr>
                  <w:tcW w:type="dxa" w:w="3888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XGBoost &amp; Random Forest modeling, multi-layer regressors, hyperparameter tuning, R² analysis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90 hrs</w:t>
                  </w:r>
                </w:p>
              </w:tc>
            </w:tr>
            <w:tr>
              <w:tc>
                <w:tcPr>
                  <w:tcW w:type="dxa" w:w="216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7"/>
                    </w:rPr>
                    <w:t>Pedamallu Samanyu Reddy</w:t>
                  </w:r>
                </w:p>
              </w:tc>
              <w:tc>
                <w:tcPr>
                  <w:tcW w:type="dxa" w:w="3888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VLSI feature engineering (HPWL/pin density), prescriptive ECO recommendation engine, docs</w:t>
                  </w:r>
                </w:p>
              </w:tc>
              <w:tc>
                <w:tcPr>
                  <w:tcW w:type="dxa" w:w="1440"/>
                  <w:shd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Calibri" w:hAnsi="Calibri"/>
                      <w:sz w:val="17"/>
                    </w:rPr>
                    <w:t>85 hrs</w:t>
                  </w:r>
                </w:p>
              </w:tc>
            </w:tr>
          </w:tbl>
          <w:p/>
          <w:p>
            <w:pPr>
              <w:spacing w:before="100" w:after="40"/>
            </w:pPr>
            <w:r>
              <w:rPr>
                <w:rFonts w:ascii="Calibri" w:hAnsi="Calibri"/>
                <w:b/>
                <w:color w:val="2D3748"/>
                <w:sz w:val="20"/>
              </w:rPr>
              <w:t>Project Completion Stages &amp; Gantt Schedule Status [Table-5]: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CBD5E0"/>
                <w:bottom w:val="single" w:sz="4" w:space="0" w:color="CBD5E0"/>
                <w:left w:val="single" w:sz="4" w:space="0" w:color="CBD5E0"/>
                <w:right w:val="single" w:sz="4" w:space="0" w:color="CBD5E0"/>
                <w:insideH w:val="single" w:sz="4" w:space="0" w:color="CBD5E0"/>
                <w:insideV w:val="single" w:sz="4" w:space="0" w:color="CBD5E0"/>
              </w:tblBorders>
            </w:tblPr>
            <w:tblGrid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</w:tblGrid>
            <w:tr>
              <w:tc>
                <w:tcPr>
                  <w:tcW w:type="dxa" w:w="535"/>
                  <w:shd w:fill="EDF2F7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1A202C"/>
                      <w:sz w:val="15"/>
                    </w:rPr>
                    <w:t>Milestone Task</w:t>
                  </w:r>
                </w:p>
              </w:tc>
              <w:tc>
                <w:tcPr>
                  <w:tcW w:type="dxa" w:w="535"/>
                  <w:shd w:fill="EDF2F7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1A202C"/>
                      <w:sz w:val="15"/>
                    </w:rPr>
                    <w:t>W1</w:t>
                  </w:r>
                </w:p>
              </w:tc>
              <w:tc>
                <w:tcPr>
                  <w:tcW w:type="dxa" w:w="535"/>
                  <w:shd w:fill="EDF2F7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1A202C"/>
                      <w:sz w:val="15"/>
                    </w:rPr>
                    <w:t>W2</w:t>
                  </w:r>
                </w:p>
              </w:tc>
              <w:tc>
                <w:tcPr>
                  <w:tcW w:type="dxa" w:w="535"/>
                  <w:shd w:fill="EDF2F7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1A202C"/>
                      <w:sz w:val="15"/>
                    </w:rPr>
                    <w:t>W3</w:t>
                  </w:r>
                </w:p>
              </w:tc>
              <w:tc>
                <w:tcPr>
                  <w:tcW w:type="dxa" w:w="535"/>
                  <w:shd w:fill="EDF2F7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1A202C"/>
                      <w:sz w:val="15"/>
                    </w:rPr>
                    <w:t>W4</w:t>
                  </w:r>
                </w:p>
              </w:tc>
              <w:tc>
                <w:tcPr>
                  <w:tcW w:type="dxa" w:w="535"/>
                  <w:shd w:fill="EDF2F7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1A202C"/>
                      <w:sz w:val="15"/>
                    </w:rPr>
                    <w:t>W5</w:t>
                  </w:r>
                </w:p>
              </w:tc>
              <w:tc>
                <w:tcPr>
                  <w:tcW w:type="dxa" w:w="535"/>
                  <w:shd w:fill="EDF2F7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1A202C"/>
                      <w:sz w:val="15"/>
                    </w:rPr>
                    <w:t>W6</w:t>
                  </w:r>
                </w:p>
              </w:tc>
              <w:tc>
                <w:tcPr>
                  <w:tcW w:type="dxa" w:w="535"/>
                  <w:shd w:fill="EDF2F7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1A202C"/>
                      <w:sz w:val="15"/>
                    </w:rPr>
                    <w:t>W7</w:t>
                  </w:r>
                </w:p>
              </w:tc>
              <w:tc>
                <w:tcPr>
                  <w:tcW w:type="dxa" w:w="535"/>
                  <w:shd w:fill="EDF2F7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1A202C"/>
                      <w:sz w:val="15"/>
                    </w:rPr>
                    <w:t>W8</w:t>
                  </w:r>
                </w:p>
              </w:tc>
              <w:tc>
                <w:tcPr>
                  <w:tcW w:type="dxa" w:w="535"/>
                  <w:shd w:fill="EDF2F7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1A202C"/>
                      <w:sz w:val="15"/>
                    </w:rPr>
                    <w:t>W9</w:t>
                  </w:r>
                </w:p>
              </w:tc>
              <w:tc>
                <w:tcPr>
                  <w:tcW w:type="dxa" w:w="535"/>
                  <w:shd w:fill="EDF2F7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1A202C"/>
                      <w:sz w:val="15"/>
                    </w:rPr>
                    <w:t>W10</w:t>
                  </w:r>
                </w:p>
              </w:tc>
              <w:tc>
                <w:tcPr>
                  <w:tcW w:type="dxa" w:w="535"/>
                  <w:shd w:fill="EDF2F7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1A202C"/>
                      <w:sz w:val="15"/>
                    </w:rPr>
                    <w:t>W11</w:t>
                  </w:r>
                </w:p>
              </w:tc>
              <w:tc>
                <w:tcPr>
                  <w:tcW w:type="dxa" w:w="535"/>
                  <w:shd w:fill="EDF2F7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1A202C"/>
                      <w:sz w:val="15"/>
                    </w:rPr>
                    <w:t>W12</w:t>
                  </w:r>
                </w:p>
              </w:tc>
              <w:tc>
                <w:tcPr>
                  <w:tcW w:type="dxa" w:w="535"/>
                </w:tcPr>
                <w:p/>
              </w:tc>
            </w:tr>
            <w:tr>
              <w:tc>
                <w:tcPr>
                  <w:tcW w:type="dxa" w:w="535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5"/>
                    </w:rPr>
                    <w:t>1. Literature review &amp; flow setup</w:t>
                  </w:r>
                </w:p>
              </w:tc>
              <w:tc>
                <w:tcPr>
                  <w:tcW w:type="dxa" w:w="535"/>
                  <w:shd w:fill="3182CE"/>
                </w:tcPr>
                <w:p>
                  <w:pPr>
                    <w:jc w:val="center"/>
                  </w:pPr>
                  <w:r>
                    <w:rPr>
                      <w:color w:val="FFFFFF"/>
                      <w:sz w:val="15"/>
                    </w:rPr>
                    <w:t>■</w:t>
                  </w:r>
                </w:p>
              </w:tc>
              <w:tc>
                <w:tcPr>
                  <w:tcW w:type="dxa" w:w="535"/>
                  <w:shd w:fill="3182CE"/>
                </w:tcPr>
                <w:p>
                  <w:pPr>
                    <w:jc w:val="center"/>
                  </w:pPr>
                  <w:r>
                    <w:rPr>
                      <w:color w:val="FFFFFF"/>
                      <w:sz w:val="15"/>
                    </w:rPr>
                    <w:t>■</w:t>
                  </w: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</w:tcPr>
                <w:p/>
              </w:tc>
            </w:tr>
            <w:tr>
              <w:tc>
                <w:tcPr>
                  <w:tcW w:type="dxa" w:w="535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5"/>
                    </w:rPr>
                    <w:t>2. RV32I 30,500 dataset sweeps</w:t>
                  </w: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3182CE"/>
                </w:tcPr>
                <w:p>
                  <w:pPr>
                    <w:jc w:val="center"/>
                  </w:pPr>
                  <w:r>
                    <w:rPr>
                      <w:color w:val="FFFFFF"/>
                      <w:sz w:val="15"/>
                    </w:rPr>
                    <w:t>■</w:t>
                  </w:r>
                </w:p>
              </w:tc>
              <w:tc>
                <w:tcPr>
                  <w:tcW w:type="dxa" w:w="535"/>
                  <w:shd w:fill="3182CE"/>
                </w:tcPr>
                <w:p>
                  <w:pPr>
                    <w:jc w:val="center"/>
                  </w:pPr>
                  <w:r>
                    <w:rPr>
                      <w:color w:val="FFFFFF"/>
                      <w:sz w:val="15"/>
                    </w:rPr>
                    <w:t>■</w:t>
                  </w:r>
                </w:p>
              </w:tc>
              <w:tc>
                <w:tcPr>
                  <w:tcW w:type="dxa" w:w="535"/>
                  <w:shd w:fill="3182CE"/>
                </w:tcPr>
                <w:p>
                  <w:pPr>
                    <w:jc w:val="center"/>
                  </w:pPr>
                  <w:r>
                    <w:rPr>
                      <w:color w:val="FFFFFF"/>
                      <w:sz w:val="15"/>
                    </w:rPr>
                    <w:t>■</w:t>
                  </w: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</w:tcPr>
                <w:p/>
              </w:tc>
            </w:tr>
            <w:tr>
              <w:tc>
                <w:tcPr>
                  <w:tcW w:type="dxa" w:w="535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5"/>
                    </w:rPr>
                    <w:t>3. Physical feature engineering</w:t>
                  </w: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3182CE"/>
                </w:tcPr>
                <w:p>
                  <w:pPr>
                    <w:jc w:val="center"/>
                  </w:pPr>
                  <w:r>
                    <w:rPr>
                      <w:color w:val="FFFFFF"/>
                      <w:sz w:val="15"/>
                    </w:rPr>
                    <w:t>■</w:t>
                  </w:r>
                </w:p>
              </w:tc>
              <w:tc>
                <w:tcPr>
                  <w:tcW w:type="dxa" w:w="535"/>
                  <w:shd w:fill="3182CE"/>
                </w:tcPr>
                <w:p>
                  <w:pPr>
                    <w:jc w:val="center"/>
                  </w:pPr>
                  <w:r>
                    <w:rPr>
                      <w:color w:val="FFFFFF"/>
                      <w:sz w:val="15"/>
                    </w:rPr>
                    <w:t>■</w:t>
                  </w: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</w:tcPr>
                <w:p/>
              </w:tc>
            </w:tr>
            <w:tr>
              <w:tc>
                <w:tcPr>
                  <w:tcW w:type="dxa" w:w="535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5"/>
                    </w:rPr>
                    <w:t>4. Dual ML model training (XGB/RF)</w:t>
                  </w: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3182CE"/>
                </w:tcPr>
                <w:p>
                  <w:pPr>
                    <w:jc w:val="center"/>
                  </w:pPr>
                  <w:r>
                    <w:rPr>
                      <w:color w:val="FFFFFF"/>
                      <w:sz w:val="15"/>
                    </w:rPr>
                    <w:t>■</w:t>
                  </w:r>
                </w:p>
              </w:tc>
              <w:tc>
                <w:tcPr>
                  <w:tcW w:type="dxa" w:w="535"/>
                  <w:shd w:fill="3182CE"/>
                </w:tcPr>
                <w:p>
                  <w:pPr>
                    <w:jc w:val="center"/>
                  </w:pPr>
                  <w:r>
                    <w:rPr>
                      <w:color w:val="FFFFFF"/>
                      <w:sz w:val="15"/>
                    </w:rPr>
                    <w:t>■</w:t>
                  </w:r>
                </w:p>
              </w:tc>
              <w:tc>
                <w:tcPr>
                  <w:tcW w:type="dxa" w:w="535"/>
                  <w:shd w:fill="3182CE"/>
                </w:tcPr>
                <w:p>
                  <w:pPr>
                    <w:jc w:val="center"/>
                  </w:pPr>
                  <w:r>
                    <w:rPr>
                      <w:color w:val="FFFFFF"/>
                      <w:sz w:val="15"/>
                    </w:rPr>
                    <w:t>■</w:t>
                  </w: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</w:tcPr>
                <w:p/>
              </w:tc>
            </w:tr>
            <w:tr>
              <w:tc>
                <w:tcPr>
                  <w:tcW w:type="dxa" w:w="535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5"/>
                    </w:rPr>
                    <w:t>5. Multi-layer regression &amp; evaluation</w:t>
                  </w: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3182CE"/>
                </w:tcPr>
                <w:p>
                  <w:pPr>
                    <w:jc w:val="center"/>
                  </w:pPr>
                  <w:r>
                    <w:rPr>
                      <w:color w:val="FFFFFF"/>
                      <w:sz w:val="15"/>
                    </w:rPr>
                    <w:t>■</w:t>
                  </w:r>
                </w:p>
              </w:tc>
              <w:tc>
                <w:tcPr>
                  <w:tcW w:type="dxa" w:w="535"/>
                  <w:shd w:fill="3182CE"/>
                </w:tcPr>
                <w:p>
                  <w:pPr>
                    <w:jc w:val="center"/>
                  </w:pPr>
                  <w:r>
                    <w:rPr>
                      <w:color w:val="FFFFFF"/>
                      <w:sz w:val="15"/>
                    </w:rPr>
                    <w:t>■</w:t>
                  </w: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</w:tcPr>
                <w:p/>
              </w:tc>
            </w:tr>
            <w:tr>
              <w:tc>
                <w:tcPr>
                  <w:tcW w:type="dxa" w:w="535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5"/>
                    </w:rPr>
                    <w:t>6. Prescriptive ECO engine &amp; web tool</w:t>
                  </w: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3182CE"/>
                </w:tcPr>
                <w:p>
                  <w:pPr>
                    <w:jc w:val="center"/>
                  </w:pPr>
                  <w:r>
                    <w:rPr>
                      <w:color w:val="FFFFFF"/>
                      <w:sz w:val="15"/>
                    </w:rPr>
                    <w:t>■</w:t>
                  </w:r>
                </w:p>
              </w:tc>
              <w:tc>
                <w:tcPr>
                  <w:tcW w:type="dxa" w:w="535"/>
                  <w:shd w:fill="3182CE"/>
                </w:tcPr>
                <w:p>
                  <w:pPr>
                    <w:jc w:val="center"/>
                  </w:pPr>
                  <w:r>
                    <w:rPr>
                      <w:color w:val="FFFFFF"/>
                      <w:sz w:val="15"/>
                    </w:rPr>
                    <w:t>■</w:t>
                  </w:r>
                </w:p>
              </w:tc>
              <w:tc>
                <w:tcPr>
                  <w:tcW w:type="dxa" w:w="535"/>
                  <w:shd w:fill="3182CE"/>
                </w:tcPr>
                <w:p>
                  <w:pPr>
                    <w:jc w:val="center"/>
                  </w:pPr>
                  <w:r>
                    <w:rPr>
                      <w:color w:val="FFFFFF"/>
                      <w:sz w:val="15"/>
                    </w:rPr>
                    <w:t>■</w:t>
                  </w: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</w:tcPr>
                <w:p/>
              </w:tc>
            </w:tr>
            <w:tr>
              <w:tc>
                <w:tcPr>
                  <w:tcW w:type="dxa" w:w="535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r>
                    <w:rPr>
                      <w:rFonts w:ascii="Calibri" w:hAnsi="Calibri"/>
                      <w:b/>
                      <w:sz w:val="15"/>
                    </w:rPr>
                    <w:t>7. Final verification &amp; documentation</w:t>
                  </w: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FFFFFF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35"/>
                  <w:shd w:fill="3182CE"/>
                </w:tcPr>
                <w:p>
                  <w:pPr>
                    <w:jc w:val="center"/>
                  </w:pPr>
                  <w:r>
                    <w:rPr>
                      <w:color w:val="FFFFFF"/>
                      <w:sz w:val="15"/>
                    </w:rPr>
                    <w:t>■</w:t>
                  </w:r>
                </w:p>
              </w:tc>
              <w:tc>
                <w:tcPr>
                  <w:tcW w:type="dxa" w:w="535"/>
                  <w:shd w:fill="3182CE"/>
                </w:tcPr>
                <w:p>
                  <w:pPr>
                    <w:jc w:val="center"/>
                  </w:pPr>
                  <w:r>
                    <w:rPr>
                      <w:color w:val="FFFFFF"/>
                      <w:sz w:val="15"/>
                    </w:rPr>
                    <w:t>■</w:t>
                  </w:r>
                </w:p>
              </w:tc>
              <w:tc>
                <w:tcPr>
                  <w:tcW w:type="dxa" w:w="535"/>
                </w:tcPr>
                <w:p/>
              </w:tc>
            </w:tr>
          </w:tbl>
          <w:p/>
        </w:tc>
      </w:tr>
      <w:tr>
        <w:tc>
          <w:tcPr>
            <w:tcW w:type="dxa" w:w="2592"/>
            <w:shd w:fill="EBF8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80"/>
            </w:pPr>
            <w:r>
              <w:rPr>
                <w:rFonts w:ascii="Calibri" w:hAnsi="Calibri"/>
                <w:b/>
                <w:color w:val="1A365D"/>
                <w:sz w:val="22"/>
              </w:rPr>
              <w:t>References</w:t>
            </w:r>
          </w:p>
        </w:tc>
        <w:tc>
          <w:tcPr>
            <w:tcW w:type="dxa" w:w="7488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  <w:p>
            <w:pPr>
              <w:spacing w:after="4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[1] G. Chen et al., 'CircuitNet: An Open-Source Dataset for Machine Learning in VLSI CAD Applications with Improved Domain-Specific Evaluation Metric and Learning Strategies,' Science China Information Sciences, vol. 66, no. 6, 2023.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[2] T. Chen and C. Guestrin, 'XGBoost: A Scalable Tree Boosting System,' in Proceedings of the 22nd ACM SIGKDD International Conference on Knowledge Discovery and Data Mining, 2016, pp. 785-794.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[3] L. Breiman, 'Random Forests,' Machine Learning, vol. 45, no. 1, pp. 5-32, 2001.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[4] Cadence Design Systems, 'Innovus Implementation System User Guide,' Cadence Design Systems Inc., 2023.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[5] T. Ajayi et al., 'OpenROAD: Toward Toward Open-Source Autonomous NO-HUMAN-IN-LOOP ASIC Design,' in ACM/IEEE Workshop on Machine Learning for CAD (MLCAD), 2019, pp. 110-115.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[6] M. Tilk, 'DigitalJS: A Digital Logic Simulator for Circuit Design Education and Synthesis Visualization,' 2020. [Online]. Available: https://github.com/tilk/digitaljs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[7] D. A. Patterson and J. L. Hennessy, 'Computer Organization and Design RISC-V Edition: The Hardware Software Interface,' Morgan Kaufmann, 2017.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[8] United Nations, 'Transforming our World: The 2030 Agenda for Sustainable Development,' Resolution adopted by the General Assembly, A/RES/70/1, 2015.</w:t>
            </w:r>
          </w:p>
        </w:tc>
      </w:tr>
    </w:tbl>
    <w:p>
      <w:pPr>
        <w:spacing w:before="200"/>
      </w:pPr>
      <w:r>
        <w:rPr>
          <w:rFonts w:ascii="Calibri" w:hAnsi="Calibri"/>
          <w:b/>
          <w:color w:val="1A365D"/>
          <w:sz w:val="22"/>
        </w:rPr>
        <w:t>Geo-Tagged Photo:</w:t>
      </w:r>
    </w:p>
    <w:p>
      <w:pPr>
        <w:spacing w:after="80"/>
        <w:jc w:val="center"/>
      </w:pPr>
      <w:r>
        <w:rPr>
          <w:rFonts w:ascii="Calibri" w:hAnsi="Calibri"/>
          <w:i/>
          <w:color w:val="718096"/>
          <w:sz w:val="20"/>
        </w:rPr>
        <w:t>[ Attach Geo-Tagged Project Review Photo Here ]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