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-12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ind w:hanging="0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УТВЕРЖДАЮ</w:t>
              <w:br/>
              <w:t>Директор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hanging="0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ООО тушканчик</w:t>
              <w:br/>
              <w:t>________________  фио</w:t>
              <w:br/>
              <w:t>«___» __________ 2026 г.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hanging="0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sz w:val="28"/>
                <w:szCs w:val="28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hanging="0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Директор ООО актушка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н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______________фио</w:t>
              <w:br/>
              <w:t>«___» __________ 2026 г.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righ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Главный конструктор ООО тушкан</w:t>
              <w:br/>
              <w:t>________________ фио</w:t>
              <w:br/>
              <w:t>«___» __________ 2026 г.</w:t>
            </w:r>
            <w:bookmarkStart w:id="0" w:name="_Hlk238025997"/>
            <w:bookmarkEnd w:id="0"/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  <w:tab/>
        <w:tab/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ТЕХНИЧЕСКОЕ ЗАДАНИЕ</w:t>
      </w:r>
    </w:p>
    <w:p>
      <w:pPr>
        <w:pStyle w:val="Normal"/>
        <w:spacing w:before="0" w:after="20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на выполнение части опытно-конструкторской работы</w:t>
      </w:r>
    </w:p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«Разработка сменной интерфейсной субплаты 4×IEEE C37.94 и функционального программного Функционального модуля релейной защиты для универсального базового модуля AMC семейства устройств ДММП»</w:t>
      </w:r>
    </w:p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Шифр ОКР: Развитие-ТСА</w:t>
      </w:r>
    </w:p>
    <w:tbl>
      <w:tblPr>
        <w:tblW w:w="9360" w:type="dxa"/>
        <w:jc w:val="left"/>
        <w:tblInd w:w="-12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Начальник лаборатории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ООО нетушканчик</w:t>
              <w:br/>
              <w:t>________________  фио</w:t>
              <w:br/>
              <w:t>«___» __________ 2026 г.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sz w:val="28"/>
                <w:szCs w:val="28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Начальник пупупу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ООО тушканчик</w:t>
              <w:br/>
              <w:t>________________  фио</w:t>
              <w:br/>
              <w:t>«___» __________ 2026 г.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righ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sz w:val="28"/>
                <w:szCs w:val="28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jc w:val="righ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СОСТАВИЛ</w:t>
              <w:br/>
              <w:t>Ведущий инженер-системотехник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jc w:val="right"/>
              <w:rPr>
                <w:rFonts w:cs="Times New Roman"/>
                <w:sz w:val="28"/>
                <w:szCs w:val="28"/>
                <w:lang w:val="ru-RU"/>
              </w:rPr>
            </w:pPr>
            <w:bookmarkStart w:id="1" w:name="_Hlk238025344"/>
            <w:bookmarkEnd w:id="1"/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ООО тушканчик</w:t>
              <w:br/>
              <w:t>________________ фио</w:t>
              <w:br/>
              <w:t>«___» __________ 2026 г.</w:t>
            </w:r>
          </w:p>
        </w:tc>
      </w:tr>
    </w:tbl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</w:r>
    </w:p>
    <w:p>
      <w:pPr>
        <w:pStyle w:val="Normal"/>
        <w:spacing w:before="0" w:after="720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2026</w:t>
      </w:r>
      <w:r>
        <w:br w:type="page"/>
      </w:r>
    </w:p>
    <w:p>
      <w:pPr>
        <w:pStyle w:val="Heading1"/>
        <w:spacing w:before="0" w:after="12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ЛИСТ СОГЛАСОВАНИЯ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ООО тушканчик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rFonts w:eastAsia="Calibri" w:cs="Times New Roman"/>
          <w:sz w:val="28"/>
          <w:szCs w:val="28"/>
          <w:lang w:val="ru-RU"/>
        </w:rPr>
        <w:t>ООО «актушкан»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ООО ТВК река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76" w:before="0" w:after="200"/>
        <w:ind w:hanging="0"/>
        <w:jc w:val="left"/>
        <w:rPr>
          <w:rFonts w:cs="Times New Roman"/>
          <w:b/>
          <w:bCs/>
          <w:color w:themeColor="dark1" w:val="000000"/>
          <w:sz w:val="28"/>
          <w:szCs w:val="28"/>
          <w:lang w:val="ru-RU"/>
        </w:rPr>
      </w:pPr>
      <w:r>
        <w:rPr>
          <w:rFonts w:cs="Times New Roman"/>
          <w:b/>
          <w:bCs/>
          <w:color w:themeColor="dark1" w:val="000000"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Обозначения и сокращения</w:t>
      </w:r>
    </w:p>
    <w:p>
      <w:pPr>
        <w:pStyle w:val="Normal"/>
        <w:rPr>
          <w:lang w:val="ru-RU"/>
        </w:rPr>
      </w:pPr>
      <w:r>
        <w:rPr>
          <w:lang w:val="ru-RU"/>
        </w:rPr>
        <w:t>В настоящем документе применяют следующие обозначения и сокращения: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IEEE C37.94</w:t>
      </w:r>
      <w:r>
        <w:rPr>
          <w:lang w:val="ru-RU"/>
        </w:rPr>
        <w:t xml:space="preserve"> — стандарт волоконно-оптического интерфейса между аппаратурой телезащиты/РЗА и цифровыми мультиплексорами;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РЗА</w:t>
      </w:r>
      <w:r>
        <w:rPr>
          <w:lang w:val="ru-RU"/>
        </w:rPr>
        <w:t xml:space="preserve"> — релейная защита и противоаварийная автоматика энергосистем;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ДЗЛ</w:t>
      </w:r>
      <w:r>
        <w:rPr>
          <w:lang w:val="ru-RU"/>
        </w:rPr>
        <w:t xml:space="preserve"> — дифференциальная защита линий электропередачи;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Hitless Redundancy (P2)</w:t>
      </w:r>
      <w:r>
        <w:rPr>
          <w:lang w:val="ru-RU"/>
        </w:rPr>
        <w:t xml:space="preserve"> — режим бесшовного безынерционного дублирования пакетов с поштучной дедупликацией без потери данных;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Yellow Alarm</w:t>
      </w:r>
      <w:r>
        <w:rPr>
          <w:lang w:val="ru-RU"/>
        </w:rPr>
        <w:t xml:space="preserve"> — сигнал желтой аварии (индикация неисправности удаленной стороны в заголовке C37.94);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Субплата 4×C37.94</w:t>
      </w:r>
      <w:r>
        <w:rPr>
          <w:lang w:val="ru-RU"/>
        </w:rPr>
        <w:t xml:space="preserve"> — сменная плата физических оптических интерфейсов C37.94, устанавливаемая на базовую плату AMC;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Базовая плата AMC</w:t>
      </w:r>
      <w:r>
        <w:rPr>
          <w:lang w:val="ru-RU"/>
        </w:rPr>
        <w:t xml:space="preserve"> — универсальная цифровая несущая плата мезонина AMC с вычислительным узлом на базе ПЛИС;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Функциональный модуль C37.94 (FPGA IP Core)</w:t>
      </w:r>
      <w:r>
        <w:rPr>
          <w:lang w:val="ru-RU"/>
        </w:rPr>
        <w:t xml:space="preserve"> — функциональный программный RTL-блок прошивки ПЛИС базовой платы;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DDM/DOM (Digital Diagnostics Monitoring)</w:t>
      </w:r>
      <w:r>
        <w:rPr>
          <w:lang w:val="ru-RU"/>
        </w:rPr>
        <w:t xml:space="preserve"> — цифровой контроль оптических параметров (мощность, температура, токи);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B2B (Board-to-Board)</w:t>
      </w:r>
      <w:r>
        <w:rPr>
          <w:lang w:val="ru-RU"/>
        </w:rPr>
        <w:t xml:space="preserve"> — стандартизованный межплатный соединитель сопряжения базовой платы и субплаты;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Board ID</w:t>
      </w:r>
      <w:r>
        <w:rPr>
          <w:lang w:val="ru-RU"/>
        </w:rPr>
        <w:t xml:space="preserve"> — аппаратный идентификатор типа установленной субплаты в памяти I2C EEPROM;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LOS / LOF</w:t>
      </w:r>
      <w:r>
        <w:rPr>
          <w:lang w:val="ru-RU"/>
        </w:rPr>
        <w:t xml:space="preserve"> — потеря оптического сигнала / потеря кадровой синхронизации;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РМО</w:t>
      </w:r>
      <w:r>
        <w:rPr>
          <w:lang w:val="ru-RU"/>
        </w:rPr>
        <w:t xml:space="preserve"> — рабочее место оператора (программный комплекс визуализации и диспетчеризации);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ОКР</w:t>
      </w:r>
      <w:r>
        <w:rPr>
          <w:lang w:val="ru-RU"/>
        </w:rPr>
        <w:t xml:space="preserve"> — опытно-конструкторская работа;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РКД</w:t>
      </w:r>
      <w:r>
        <w:rPr>
          <w:lang w:val="ru-RU"/>
        </w:rPr>
        <w:t xml:space="preserve"> — рабочая конструкторская документация;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ПМИ</w:t>
      </w:r>
      <w:r>
        <w:rPr>
          <w:lang w:val="ru-RU"/>
        </w:rPr>
        <w:t xml:space="preserve"> — программа и методики испытаний.</w:t>
      </w:r>
    </w:p>
    <w:p>
      <w:pPr>
        <w:pStyle w:val="Normal"/>
        <w:spacing w:lineRule="auto" w:line="276" w:before="0" w:after="200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Применимые нормативные и справочные документы</w:t>
      </w:r>
    </w:p>
    <w:p>
      <w:pPr>
        <w:pStyle w:val="Normal"/>
        <w:rPr>
          <w:lang w:val="ru-RU"/>
        </w:rPr>
      </w:pPr>
      <w:r>
        <w:rPr>
          <w:lang w:val="ru-RU"/>
        </w:rPr>
        <w:t>При разработке субплаты 4×C37.94 и Функционального модуля применяются следующие стандарты и рекомендации:</w:t>
      </w:r>
    </w:p>
    <w:p>
      <w:pPr>
        <w:pStyle w:val="Normal"/>
        <w:rPr/>
      </w:pPr>
      <w:r>
        <w:rPr>
          <w:b/>
        </w:rPr>
        <w:t>IEEE C37.94-2017</w:t>
      </w:r>
      <w:r>
        <w:rPr/>
        <w:t xml:space="preserve"> — IEEE Standard for N times 64 kbps Optical Fiber Interfaces between Teleprotection and Multiplexer Equipment;</w:t>
      </w:r>
    </w:p>
    <w:p>
      <w:pPr>
        <w:pStyle w:val="Normal"/>
        <w:rPr/>
      </w:pPr>
      <w:r>
        <w:rPr>
          <w:b/>
        </w:rPr>
        <w:t>IEEE C37.94-2002</w:t>
      </w:r>
      <w:r>
        <w:rPr/>
        <w:t xml:space="preserve"> — IEEE Standard for N times 64 kbps Optical Fiber Interfaces (</w:t>
      </w:r>
      <w:r>
        <w:rPr>
          <w:lang w:val="ru-RU"/>
        </w:rPr>
        <w:t>совместимость</w:t>
      </w:r>
      <w:r>
        <w:rPr/>
        <w:t xml:space="preserve"> </w:t>
      </w:r>
      <w:r>
        <w:rPr>
          <w:lang w:val="ru-RU"/>
        </w:rPr>
        <w:t>со</w:t>
      </w:r>
      <w:r>
        <w:rPr/>
        <w:t xml:space="preserve"> </w:t>
      </w:r>
      <w:r>
        <w:rPr>
          <w:lang w:val="ru-RU"/>
        </w:rPr>
        <w:t>старым</w:t>
      </w:r>
      <w:r>
        <w:rPr/>
        <w:t xml:space="preserve"> </w:t>
      </w:r>
      <w:r>
        <w:rPr>
          <w:lang w:val="ru-RU"/>
        </w:rPr>
        <w:t>парком</w:t>
      </w:r>
      <w:r>
        <w:rPr/>
        <w:t xml:space="preserve"> </w:t>
      </w:r>
      <w:r>
        <w:rPr>
          <w:lang w:val="ru-RU"/>
        </w:rPr>
        <w:t>терминалов</w:t>
      </w:r>
      <w:r>
        <w:rPr/>
        <w:t xml:space="preserve"> </w:t>
      </w:r>
      <w:r>
        <w:rPr>
          <w:lang w:val="ru-RU"/>
        </w:rPr>
        <w:t>РЗА</w:t>
      </w:r>
      <w:r>
        <w:rPr/>
        <w:t>);</w:t>
      </w:r>
    </w:p>
    <w:p>
      <w:pPr>
        <w:pStyle w:val="Normal"/>
        <w:rPr/>
      </w:pPr>
      <w:r>
        <w:rPr>
          <w:b/>
        </w:rPr>
        <w:t>ITU-T G.823</w:t>
      </w:r>
      <w:r>
        <w:rPr/>
        <w:t xml:space="preserve"> — The control of jitter and wander within digital networks which are based on the 2048 kbit/s hierarchy;</w:t>
      </w:r>
    </w:p>
    <w:p>
      <w:pPr>
        <w:pStyle w:val="Normal"/>
        <w:rPr/>
      </w:pPr>
      <w:r>
        <w:rPr>
          <w:b/>
        </w:rPr>
        <w:t>SFF-8472</w:t>
      </w:r>
      <w:r>
        <w:rPr/>
        <w:t xml:space="preserve"> — Diagnostic Monitoring Interface for Optical Transceivers;</w:t>
      </w:r>
    </w:p>
    <w:p>
      <w:pPr>
        <w:pStyle w:val="Normal"/>
        <w:rPr/>
      </w:pPr>
      <w:r>
        <w:rPr>
          <w:b/>
        </w:rPr>
        <w:t>PICMG AMC.0 R2.0</w:t>
      </w:r>
      <w:r>
        <w:rPr/>
        <w:t xml:space="preserve"> — Advanced Mezzanine Card Base Specification;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РВ 20.39.304-98</w:t>
      </w:r>
      <w:r>
        <w:rPr>
          <w:lang w:val="ru-RU"/>
        </w:rPr>
        <w:t xml:space="preserve"> — Комплексная система общих технических требований. Аппаратура, приборы, устройства и оборудование военного назначения. Требования стойкости к внешним воздействующим факторам;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В 25803-91</w:t>
      </w:r>
      <w:r>
        <w:rPr>
          <w:lang w:val="ru-RU"/>
        </w:rPr>
        <w:t xml:space="preserve"> — Радиопомехи индустриальные от оборудования военного назначения. Нормы и методы испытаний;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2.114-2016</w:t>
      </w:r>
      <w:r>
        <w:rPr>
          <w:lang w:val="ru-RU"/>
        </w:rPr>
        <w:t xml:space="preserve"> — Единая система конструкторской документации. Технические условия;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РВ 15.201-2003</w:t>
      </w:r>
      <w:r>
        <w:rPr>
          <w:lang w:val="ru-RU"/>
        </w:rPr>
        <w:t xml:space="preserve"> — Система разработки и постановки продукции на производство. Военная техника. Тактико-техническое (техническое) задание на выполнение опытно-конструкторских работ.</w:t>
      </w:r>
    </w:p>
    <w:p>
      <w:pPr>
        <w:pStyle w:val="Normal"/>
        <w:rPr>
          <w:b/>
          <w:bCs/>
          <w:color w:themeColor="dark1" w:val="000000"/>
          <w:szCs w:val="28"/>
          <w:lang w:val="ru-RU"/>
        </w:rPr>
      </w:pPr>
      <w:r>
        <w:rPr>
          <w:b/>
          <w:bCs/>
          <w:color w:themeColor="dark1" w:val="000000"/>
          <w:szCs w:val="28"/>
          <w:lang w:val="ru-RU"/>
        </w:rPr>
      </w:r>
      <w:r>
        <w:br w:type="page"/>
      </w:r>
    </w:p>
    <w:p>
      <w:pPr>
        <w:pStyle w:val="TOCHeading"/>
        <w:spacing w:before="0" w:after="80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1. Наименование, шифр, основание, исполнители и сроки ОКР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1.1. Наименование</w:t>
      </w:r>
    </w:p>
    <w:p>
      <w:pPr>
        <w:pStyle w:val="Normal"/>
        <w:rPr>
          <w:lang w:val="ru-RU"/>
        </w:rPr>
      </w:pPr>
      <w:r>
        <w:rPr>
          <w:lang w:val="ru-RU"/>
        </w:rPr>
        <w:t>Полное наименование составной части ОКР: «Разработка сменной интерфейсной субплаты 4×IEEE C37.94 и функционального программного Функционального модуля релейной защиты для универсального базового модуля AMC семейства устройств ДММП».</w:t>
      </w:r>
    </w:p>
    <w:p>
      <w:pPr>
        <w:pStyle w:val="Normal"/>
        <w:rPr>
          <w:lang w:val="ru-RU"/>
        </w:rPr>
      </w:pPr>
      <w:r>
        <w:rPr>
          <w:lang w:val="ru-RU"/>
        </w:rPr>
        <w:t>Разрабатываемое изделие далее по тексту именуется интерфейсным модулем AMC C37.94 или субплатой 4×C37.94.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1.2. Шифр</w:t>
      </w:r>
    </w:p>
    <w:p>
      <w:pPr>
        <w:pStyle w:val="Normal"/>
        <w:rPr>
          <w:lang w:val="ru-RU"/>
        </w:rPr>
      </w:pPr>
      <w:r>
        <w:rPr>
          <w:lang w:val="ru-RU"/>
        </w:rPr>
        <w:t>Шифр ОКР — «Развитие-ТСА».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1.3. Основание выполнения</w:t>
      </w:r>
    </w:p>
    <w:p>
      <w:pPr>
        <w:pStyle w:val="Normal"/>
        <w:rPr>
          <w:lang w:val="ru-RU"/>
        </w:rPr>
      </w:pPr>
      <w:r>
        <w:rPr>
          <w:lang w:val="ru-RU"/>
        </w:rPr>
        <w:t>Основание выполнения ОКР — приказ об открытии инициативной опытно-конструкторской работы «Развитие-ТСА» № _____ от __________.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1.4. Исполнитель</w:t>
      </w:r>
    </w:p>
    <w:p>
      <w:pPr>
        <w:pStyle w:val="Normal"/>
        <w:rPr>
          <w:lang w:val="ru-RU"/>
        </w:rPr>
      </w:pPr>
      <w:r>
        <w:rPr>
          <w:lang w:val="ru-RU"/>
        </w:rPr>
        <w:t>Исполнителем ОКР является ООО тушканчик.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1.5. Срок выполнения</w:t>
      </w:r>
    </w:p>
    <w:p>
      <w:pPr>
        <w:pStyle w:val="Normal"/>
        <w:rPr>
          <w:lang w:val="ru-RU"/>
        </w:rPr>
      </w:pPr>
      <w:r>
        <w:rPr>
          <w:lang w:val="ru-RU"/>
        </w:rPr>
        <w:t>Срок выполнения ОКР определяется согласно утверждённому плану-графику разработки рабочей конструкторской и программной документации, изготовления опытных образцов и проведения испытаний.</w:t>
      </w:r>
    </w:p>
    <w:p>
      <w:pPr>
        <w:pStyle w:val="Normal"/>
        <w:spacing w:lineRule="auto" w:line="276" w:before="0" w:after="200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2. Цель выполнения, наименование, назначение и область применения изделия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2.1. Цель ОКР</w:t>
      </w:r>
    </w:p>
    <w:p>
      <w:pPr>
        <w:pStyle w:val="Normal"/>
        <w:rPr>
          <w:lang w:val="ru-RU"/>
        </w:rPr>
      </w:pPr>
      <w:r>
        <w:rPr>
          <w:lang w:val="ru-RU"/>
        </w:rPr>
        <w:t>Целью работы является создание сменной интерфейсной субплаты на 4 оптических порта IEEE C37.94 с дуплексными разъемами LC/SFP и программного Функционального модуля ПЛИС, обеспечивающих детерминированное подключение микропроцессорных терминалов релейной защиты и автоматики (РЗА/ДЗЛ), передачу потоков N×64 кбит/с с ультранизкой фиксированной задержкой и симметрией, бесшовное дублирование сетевых путей Hitless Redundancy (P2) и безопасный переход в аварийные состояния (Fail-Safe) в составе платформы ДММП.</w:t>
      </w:r>
    </w:p>
    <w:p>
      <w:pPr>
        <w:pStyle w:val="Normal"/>
        <w:rPr>
          <w:lang w:val="ru-RU"/>
        </w:rPr>
      </w:pPr>
      <w:bookmarkStart w:id="2" w:name="_Hlk238137536"/>
      <w:r>
        <w:rPr>
          <w:lang w:val="ru-RU"/>
        </w:rPr>
        <w:t>Состав разработки по данному ТЗ включает две неразрывные части: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- </w:t>
      </w:r>
      <w:r>
        <w:rPr>
          <w:b/>
          <w:bCs/>
          <w:lang w:val="ru-RU"/>
        </w:rPr>
        <w:t>Аппаратная часть:</w:t>
      </w:r>
      <w:r>
        <w:rPr>
          <w:lang w:val="ru-RU"/>
        </w:rPr>
        <w:t xml:space="preserve"> физическая печатная плата сменной мезонинной платы, устанавливаемая на базовый модуль </w:t>
      </w:r>
      <w:r>
        <w:rPr/>
        <w:t>AMC</w:t>
      </w:r>
      <w:r>
        <w:rPr>
          <w:lang w:val="ru-RU"/>
        </w:rPr>
        <w:t xml:space="preserve"> через разъем </w:t>
      </w:r>
      <w:r>
        <w:rPr/>
        <w:t>B</w:t>
      </w:r>
      <w:r>
        <w:rPr>
          <w:lang w:val="ru-RU"/>
        </w:rPr>
        <w:t>2</w:t>
      </w:r>
      <w:r>
        <w:rPr/>
        <w:t>B</w:t>
      </w:r>
      <w:r>
        <w:rPr>
          <w:lang w:val="ru-RU"/>
        </w:rPr>
        <w:t xml:space="preserve">, включающая входные интерфейсы, схемы защиты, трансиверы и микросхему </w:t>
      </w:r>
      <w:r>
        <w:rPr/>
        <w:t>EEPROM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- </w:t>
      </w:r>
      <w:r>
        <w:rPr>
          <w:b/>
          <w:bCs/>
          <w:lang w:val="ru-RU"/>
        </w:rPr>
        <w:t>Логическая часть (ПО Функционального модуля ПЛИС)</w:t>
      </w:r>
      <w:r>
        <w:rPr>
          <w:lang w:val="ru-RU"/>
        </w:rPr>
        <w:t xml:space="preserve">: специализированное функциональное Функциональный модуль обработки сигналов, </w:t>
      </w:r>
      <w:r>
        <w:rPr>
          <w:b/>
          <w:bCs/>
          <w:lang w:val="ru-RU"/>
        </w:rPr>
        <w:t xml:space="preserve">исполняемое в ПЛИС универсального базового модуля </w:t>
      </w:r>
      <w:r>
        <w:rPr>
          <w:b/>
          <w:bCs/>
        </w:rPr>
        <w:t>AMC</w:t>
      </w:r>
      <w:r>
        <w:rPr>
          <w:lang w:val="ru-RU"/>
        </w:rPr>
        <w:t>, подключаемое к внутренней шине ПЛИС при автоматическом обнаружении данной мезонинной платы.</w:t>
      </w:r>
      <w:bookmarkEnd w:id="2"/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2.2. Назначение</w:t>
      </w:r>
    </w:p>
    <w:p>
      <w:pPr>
        <w:pStyle w:val="Normal"/>
        <w:rPr>
          <w:lang w:val="ru-RU"/>
        </w:rPr>
      </w:pPr>
      <w:r>
        <w:rPr>
          <w:lang w:val="ru-RU"/>
        </w:rPr>
        <w:t>Интерфейсный модуль AMC C37.94 предназначен для установки в посадочные места плат-носителей Carrier и обеспечивает: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подключение четырех независимых оптических портов IEEE C37.94 (дуплексные разъемы LC / корзины SFP);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передачу N пользовательских каналов по 64 кбит/с при N от 1 до 12 для каждого порта (полезная скорость 64...768 кбит/с в потоке 2048 кбит/с);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поддержку многомодовой оптики 850 нм (MM 50/125, 62.5/125 мкм) и одномодовой оптики 1310 нм (SM 9/125 мкм);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цифровой мониторинг оптических параметров DDM/DOM (мощность TX/RX, температура, ток лазера);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инкапсуляцию C37.94-over-Packet с наивысшим приоритетом Strict Priority QoS в Fabric 10GbE;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жесткий контроль симметрии задержки передачи (асимметрия не более ±10 мкс) для предотвращения ложной работы ДЗЛ;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бесшовное дублирование пакетных трактов Hitless Redundancy (профиль P2) с поштучной дедупликацией пакетов без потери битов;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безопасное поведение (Fail-Safe): формирование Yellow Alarm или мгновенное отключение лазера (Laser Off) при аварии без выдачи устаревших данных;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выделение тактовой частоты из любого порта C37.94 и выдачу восстановленного сигнала в тактовую сеть шасси;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непрерывную диагностику LOS/LOF, аварийных признаков, тестовые петли Loopback и интеграцию с РМО.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2.3. Область применения</w:t>
      </w:r>
    </w:p>
    <w:p>
      <w:pPr>
        <w:pStyle w:val="Normal"/>
        <w:rPr>
          <w:lang w:val="ru-RU"/>
        </w:rPr>
      </w:pPr>
      <w:r>
        <w:rPr>
          <w:lang w:val="ru-RU"/>
        </w:rPr>
        <w:t>Модуль AMC C37.94 применяется в аппаратуре ДММП для организации надежных оптических каналов связи микропроцессорных терминалов релейной защиты (ДЗЛ, ДФЗ), противоаварийной автоматики и регистраторов аварийных событий подстанций электроэнергетики.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3. Технические требования к изделию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3.1. Архитектурное построение и модульное разделение</w:t>
      </w:r>
    </w:p>
    <w:p>
      <w:pPr>
        <w:pStyle w:val="Normal"/>
        <w:rPr>
          <w:lang w:val="ru-RU"/>
        </w:rPr>
      </w:pPr>
      <w:r>
        <w:rPr>
          <w:lang w:val="ru-RU"/>
        </w:rPr>
        <w:t>3.1.1. Модуль реализуется на базе сменной субплаты 4×C37.94, сопрягаемой с универсальной базовой платой AMC через межплатный соединитель B2B.</w:t>
      </w:r>
    </w:p>
    <w:p>
      <w:pPr>
        <w:pStyle w:val="Normal"/>
        <w:rPr>
          <w:lang w:val="ru-RU"/>
        </w:rPr>
      </w:pPr>
      <w:r>
        <w:rPr>
          <w:lang w:val="ru-RU"/>
        </w:rPr>
        <w:t>3.1.2. Субплата 4×C37.94 содержит: 4 оптических порта (дуплексные LC/SFP) на лицевой панели, оптические приемопередатчики 850/1310 нм с блоками CDR, цепи DDM/DOM, аппаратное отключение лазера `TX_DISABLE`, микросхему Board ID EEPROM (`ID = 0x05`) и светодиодную индикацию.</w:t>
      </w:r>
    </w:p>
    <w:p>
      <w:pPr>
        <w:pStyle w:val="Normal"/>
        <w:rPr>
          <w:lang w:val="ru-RU"/>
        </w:rPr>
      </w:pPr>
      <w:r>
        <w:rPr>
          <w:lang w:val="ru-RU"/>
        </w:rPr>
        <w:t>3.1.3. Базовая плата AMC обеспечивает: электропитание (+12 В, +3,3 В), контроллер MMC, тактирование и загрузку из Flash-памяти специализированного битового потока Функционального модуля C37.94 (автоматически выбираемого по коду Board ID).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3.2. Оптические порты лицевой панели и трансиверы</w:t>
      </w:r>
    </w:p>
    <w:p>
      <w:pPr>
        <w:pStyle w:val="Normal"/>
        <w:rPr>
          <w:lang w:val="ru-RU"/>
        </w:rPr>
      </w:pPr>
      <w:r>
        <w:rPr>
          <w:lang w:val="ru-RU"/>
        </w:rPr>
        <w:t>3.2.1. На лицевой панели субплаты устанавливаются 4 экранированные корзины SFP / дуплексные оптические розетки LC с отдельными волокнами TX и RX.</w:t>
      </w:r>
    </w:p>
    <w:p>
      <w:pPr>
        <w:pStyle w:val="Normal"/>
        <w:rPr>
          <w:lang w:val="ru-RU"/>
        </w:rPr>
      </w:pPr>
      <w:r>
        <w:rPr>
          <w:lang w:val="ru-RU"/>
        </w:rPr>
        <w:t>3.2.2. Аппаратно поддерживаются: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многомодовые оптические модули 850 нм (MM 50/125 или 62,5/125 мкм, дальность до 2 км) по IEEE C37.94;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одномодовые оптические модули 1310 нм (SM 9/125 мкм, дальность до 20–40 км) для протяженных каналов межподстанционной связи.</w:t>
      </w:r>
    </w:p>
    <w:p>
      <w:pPr>
        <w:pStyle w:val="Normal"/>
        <w:rPr>
          <w:lang w:val="ru-RU"/>
        </w:rPr>
      </w:pPr>
      <w:r>
        <w:rPr>
          <w:lang w:val="ru-RU"/>
        </w:rPr>
        <w:t>3.2.3. Каждый оптический порт оснащен аппаратными линиями управления `TX_DISABLE`, контроля неисправности `TX_FAULT` и потери оптической мощности `RX_LOS`.</w:t>
      </w:r>
    </w:p>
    <w:p>
      <w:pPr>
        <w:pStyle w:val="Normal"/>
        <w:rPr>
          <w:lang w:val="ru-RU"/>
        </w:rPr>
      </w:pPr>
      <w:r>
        <w:rPr>
          <w:lang w:val="ru-RU"/>
        </w:rPr>
        <w:t>3.2.4. По шине I2C поддерживается цифровой телеметрический опрос DDM/DOM (SFF-8472) с передачей оптических уровней в РМО.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3.3. Формат кадров, скорость и параметры канала IEEE C37.94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3.3.1. Каждый порт аппаратно реализует протокол IEEE C37.94-2017 (с обратной совместимостью с 2002) и поддерживает независимую настройку числа каналов N от 1 до 12 (N </w:t>
        <w:tab/>
        <w:t xml:space="preserve"> 64 кбит/с).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3.3.2. Полезные данные$N </w:t>
        <w:tab/>
        <w:t xml:space="preserve"> 64 кбит/с упаковываются в стандартный кадровый поток со скоростью 2048 кбит/с (линейное кодирование с контролем цикловой синхронизации).</w:t>
      </w:r>
    </w:p>
    <w:p>
      <w:pPr>
        <w:pStyle w:val="Normal"/>
        <w:rPr>
          <w:lang w:val="ru-RU"/>
        </w:rPr>
      </w:pPr>
      <w:r>
        <w:rPr>
          <w:lang w:val="ru-RU"/>
        </w:rPr>
        <w:t>3.3.3. Передача пользовательских битов РЗА выполняется абсолютно прозрачно, без изменения или инверсии битовых полей.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3.4. Инкапсуляция C37.94-over-Packet, качество обслуживания и симметрия</w:t>
      </w:r>
    </w:p>
    <w:p>
      <w:pPr>
        <w:pStyle w:val="Normal"/>
        <w:rPr>
          <w:lang w:val="ru-RU"/>
        </w:rPr>
      </w:pPr>
      <w:r>
        <w:rPr>
          <w:lang w:val="ru-RU"/>
        </w:rPr>
        <w:t>3.4.1. Модуль ПЛИС упаковывает потоки C37.94 в кадры Ethernet на канальном уровне (L2) с фиксированным детерминированным периодом пакетизации и наивысшим приоритетом Strict Priority QoS (IEEE 802.1p/Q). При необходимости маршрутизации через уровень L3 (UDP/IP) инкапсуляция осуществляется с привлечением процессорного ядра СнК-ПЛИС (SoC FPGA) либо методом аппаратной подстановки статического IP/UDP заголовка.»</w:t>
      </w:r>
    </w:p>
    <w:p>
      <w:pPr>
        <w:pStyle w:val="Normal"/>
        <w:rPr>
          <w:lang w:val="ru-RU"/>
        </w:rPr>
      </w:pPr>
      <w:r>
        <w:rPr>
          <w:lang w:val="ru-RU"/>
        </w:rPr>
        <w:t>3.4.2. Пакетная задержка передачи фиксирована и детерминирована. Разность задержек прямого и обратного направлений передачи (асимметрия) не должна превышать ±10 мкс во всем рабочем диапазоне температур и сетевой нагрузки.</w:t>
      </w:r>
    </w:p>
    <w:p>
      <w:pPr>
        <w:pStyle w:val="Normal"/>
        <w:rPr>
          <w:lang w:val="ru-RU"/>
        </w:rPr>
      </w:pPr>
      <w:r>
        <w:rPr>
          <w:lang w:val="ru-RU"/>
        </w:rPr>
        <w:t>3.4.3. Приемный тракт оснащен независимым джиттер-буфером для компенсации PDV без выпадения кадров.</w:t>
      </w:r>
    </w:p>
    <w:p>
      <w:pPr>
        <w:pStyle w:val="Normal"/>
        <w:rPr>
          <w:lang w:val="ru-RU"/>
        </w:rPr>
      </w:pPr>
      <w:r>
        <w:rPr>
          <w:lang w:val="ru-RU"/>
        </w:rPr>
        <w:t>3.4.4. Повторная передача (ретрансмиссия) утерянных пакетов C37.94 в сети не выполняется. При единичном пропуске пакета на приемной стороне фиксируется ошибка с подстановкой в оптический поток признака неисправности канала (Yellow Alarm / LOF). При превышении настраиваемого порога утерянных пакетов подряд оптический передатчик переводится в безопасное состояние (отключение оптического излучения Laser Off) для предотвращения ложного срабатывания терминалов релейной защиты.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3.5. Бесшовное дублирование Hitless Redundancy (P2) и безопасные состояния</w:t>
      </w:r>
    </w:p>
    <w:p>
      <w:pPr>
        <w:pStyle w:val="Normal"/>
        <w:rPr>
          <w:lang w:val="ru-RU"/>
        </w:rPr>
      </w:pPr>
      <w:r>
        <w:rPr>
          <w:lang w:val="ru-RU"/>
        </w:rPr>
        <w:t>3.5.1. Модуль поддерживает режим P2 (Hitless 1+1): одновременную передачу идентичных копий пакетов C37.94 по двум независимым сетевым трактам с поштучной дедупликацией на приеме без потери ни единого бита данных при аварии одного из путей.</w:t>
      </w:r>
    </w:p>
    <w:p>
      <w:pPr>
        <w:pStyle w:val="Normal"/>
        <w:rPr>
          <w:lang w:val="ru-RU"/>
        </w:rPr>
      </w:pPr>
      <w:r>
        <w:rPr>
          <w:lang w:val="ru-RU"/>
        </w:rPr>
        <w:t>3.5.2. Безопасное поведение (Fail-Safe): при потере входного оптического сигнала (LOS/LOF) или потере сетевого тракта ПЛИС немедленно генерирует сигнал Yellow Alarm в сторону удаленного узла либо безынерционно отключает оптический передатчик (Laser Off).</w:t>
      </w:r>
    </w:p>
    <w:p>
      <w:pPr>
        <w:pStyle w:val="Normal"/>
        <w:rPr>
          <w:lang w:val="ru-RU"/>
        </w:rPr>
      </w:pPr>
      <w:r>
        <w:rPr>
          <w:lang w:val="ru-RU"/>
        </w:rPr>
        <w:t>3.5.3. Передача недостоверных, случайных или повторно воспроизведенных устаревших битов РЗА категорически запрещается.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3.6. Тактовая синхронизация и параметры джиттера</w:t>
      </w:r>
    </w:p>
    <w:p>
      <w:pPr>
        <w:pStyle w:val="Normal"/>
        <w:rPr>
          <w:lang w:val="ru-RU"/>
        </w:rPr>
      </w:pPr>
      <w:r>
        <w:rPr>
          <w:lang w:val="ru-RU"/>
        </w:rPr>
        <w:t>3.6.1. Каждый порт поддерживает режимы тактирования: от входного оптического сигнала C37.94 (Loop timing), от системного тактового сигнала шасси TCLK (19,44 МГц), от сетевого PTPv2 или от локального генератора (Holdover).</w:t>
      </w:r>
    </w:p>
    <w:p>
      <w:pPr>
        <w:pStyle w:val="Normal"/>
        <w:rPr>
          <w:lang w:val="ru-RU"/>
        </w:rPr>
      </w:pPr>
      <w:r>
        <w:rPr>
          <w:lang w:val="ru-RU"/>
        </w:rPr>
        <w:t>3.6.2. Субплата выделяет опорную частоту 2048 кГц из любого выбранного порта C37.94 и передает ее в линию `RX_CLK` шасси ДММП.</w:t>
      </w:r>
    </w:p>
    <w:p>
      <w:pPr>
        <w:pStyle w:val="Normal"/>
        <w:rPr>
          <w:lang w:val="ru-RU"/>
        </w:rPr>
      </w:pPr>
      <w:r>
        <w:rPr>
          <w:lang w:val="ru-RU"/>
        </w:rPr>
        <w:t>3.6.3. Параметры джиттера и вандера сформированного оптического сигнала C37.94 удовлетворяют требованиям стандарта ITU-T G.823.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3.7. Аварийная сигнализация, диагностика и контроль качества</w:t>
      </w:r>
    </w:p>
    <w:p>
      <w:pPr>
        <w:pStyle w:val="Normal"/>
        <w:rPr>
          <w:lang w:val="ru-RU"/>
        </w:rPr>
      </w:pPr>
      <w:r>
        <w:rPr>
          <w:lang w:val="ru-RU"/>
        </w:rPr>
        <w:t>3.7.1. Непрерывно контролируются: потеря оптического сигнала (LOS), потеря кадровой синхронизации (LOF), прием сигнала желтой аварии (Yellow Alarm), битовые ошибки и оптическая мощность DDM.</w:t>
      </w:r>
    </w:p>
    <w:p>
      <w:pPr>
        <w:pStyle w:val="Normal"/>
        <w:rPr>
          <w:lang w:val="ru-RU"/>
        </w:rPr>
      </w:pPr>
      <w:r>
        <w:rPr>
          <w:lang w:val="ru-RU"/>
        </w:rPr>
        <w:t>3.7.2. Для каждого порта поддерживаются оптическая петля (Optical Loopback), внутренняя цифровая петля (Payload Loopback) и пакетная петля со стороны сети Ethernet.</w:t>
      </w:r>
    </w:p>
    <w:p>
      <w:pPr>
        <w:pStyle w:val="Normal"/>
        <w:rPr>
          <w:lang w:val="ru-RU"/>
        </w:rPr>
      </w:pPr>
      <w:r>
        <w:rPr>
          <w:lang w:val="ru-RU"/>
        </w:rPr>
        <w:t>3.7.3. В состав Функционального модуля входит генератор и анализатор тестовых последовательностей PRBS $2^{15}-1$ / $2^{23}-1$ для сквозного тестирования тракта РЗА.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3.8. Механика, сэндвич-сопряжение, электропитание и надежность</w:t>
      </w:r>
    </w:p>
    <w:p>
      <w:pPr>
        <w:pStyle w:val="Normal"/>
        <w:rPr>
          <w:lang w:val="ru-RU"/>
        </w:rPr>
      </w:pPr>
      <w:r>
        <w:rPr>
          <w:lang w:val="ru-RU"/>
        </w:rPr>
        <w:t>3.8.1. Модуль в сборе строго соответствует стандарту Single Full-size AMC.0 (73,5 × 180,6 × 28,95 мм). Межплатное крепление выполняется на 4–6 металлических резьбовых стойках М2,5.</w:t>
      </w:r>
    </w:p>
    <w:p>
      <w:pPr>
        <w:pStyle w:val="Normal"/>
        <w:rPr>
          <w:lang w:val="ru-RU"/>
        </w:rPr>
      </w:pPr>
      <w:r>
        <w:rPr>
          <w:lang w:val="ru-RU"/>
        </w:rPr>
        <w:t>3.8.2. Потребляемая мощность субплаты 4×C37.94 не превышает 12 Вт (суммарная мощность сэндвича с базовой платой — не более 35 Вт).</w:t>
      </w:r>
    </w:p>
    <w:p>
      <w:pPr>
        <w:pStyle w:val="Normal"/>
        <w:rPr>
          <w:lang w:val="ru-RU"/>
        </w:rPr>
      </w:pPr>
      <w:r>
        <w:rPr>
          <w:lang w:val="ru-RU"/>
        </w:rPr>
        <w:t>3.8.3. По стойкости к механическим и климатическим воздействиям изделие удовлетворяет ГОСТ РВ 20.39.304-98 (группы 1.1, 1.3, 1.4.1 «О», рабочая температура от минус 10 до плюс 50 °С, предельная от минус 40 до плюс 65 °С, синусоидальная вибрация 5g, удары 15g).</w:t>
      </w:r>
    </w:p>
    <w:p>
      <w:pPr>
        <w:pStyle w:val="Normal"/>
        <w:rPr>
          <w:lang w:val="ru-RU"/>
        </w:rPr>
      </w:pPr>
      <w:r>
        <w:rPr>
          <w:lang w:val="ru-RU"/>
        </w:rPr>
        <w:t>3.8.4. По уровню радиопомех изделие удовлетворяет нормам группы 1.1.1 ГОСТ В 25803-91. MTBF составляет не менее 15 000 часов, назначенный срок службы — не менее 20 лет.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4. Технико-экономические требования</w:t>
      </w:r>
    </w:p>
    <w:p>
      <w:pPr>
        <w:pStyle w:val="Normal"/>
        <w:rPr>
          <w:lang w:val="ru-RU"/>
        </w:rPr>
      </w:pPr>
      <w:r>
        <w:rPr>
          <w:lang w:val="ru-RU"/>
        </w:rPr>
        <w:t>Требования не предъявляются.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5. Требования к видам обеспечения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5.1. Нормативно-техническое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Разработка субплаты и Функционального модуля должна выполняться в соответствии с IEEE C37.94-2017, ITU-T G.823, SFF-8472, PICMG AMC.0, ГОСТ РВ 20.39.304-98 и ГОСТ В 25803-91.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5.2. Метрологическое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В составе документации должны быть определены методики измерений оптической мощности, джиттера по G.823, сквозной задержки и асимметрии каналов передачи.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5.3. Диагностическое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Система встроенной диагностики должна непрерывно контролировать оптические уровни DDM, аварии LOS/LOF/Yellow Alarm, статистику задержки и формировать сообщения для РМО.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5.4. Программное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В составе изделия поставляются: битовый поток прошивки Функционального модуля для Flash-памяти базовой платы AMC, драйверы Linux и структуры MIB для РМО.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6. Требования к сырью, материалам и комплектующим изделиям</w:t>
      </w:r>
    </w:p>
    <w:p>
      <w:pPr>
        <w:pStyle w:val="Normal"/>
        <w:rPr>
          <w:lang w:val="ru-RU"/>
        </w:rPr>
      </w:pPr>
      <w:r>
        <w:rPr>
          <w:lang w:val="ru-RU"/>
        </w:rPr>
        <w:t>При разработке схемотехники субплаты приоритет должен отдаваться комплектующим и материалам отечественного производства с приемкой ОТК.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7. Требования к консервации, упаковке и маркировке</w:t>
      </w:r>
    </w:p>
    <w:p>
      <w:pPr>
        <w:pStyle w:val="Normal"/>
        <w:rPr>
          <w:lang w:val="ru-RU"/>
        </w:rPr>
      </w:pPr>
      <w:r>
        <w:rPr>
          <w:lang w:val="ru-RU"/>
        </w:rPr>
        <w:t>Каждая субплата должна иметь маркировку с указанием децимального номера, серийного номера, ревизии и обозначений портов C37-1...C37-4. Оптические разъемы защищаются колпачками. Срок хранения в заводской таре — не менее 1 года по ГОСТ 15150.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8. Специальные требования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8.1. Интеграция с программным комплексом РМО</w:t>
      </w:r>
    </w:p>
    <w:p>
      <w:pPr>
        <w:pStyle w:val="Normal"/>
        <w:rPr>
          <w:lang w:val="ru-RU"/>
        </w:rPr>
      </w:pPr>
      <w:r>
        <w:rPr>
          <w:lang w:val="ru-RU"/>
        </w:rPr>
        <w:t>8.1.1. Модуль AMC C37.94 передает в РМО (C++/Qt) данные телеметрии: мнемосхему 4 оптических портов C37.94, значение $N$, оптическую мощность DDM (дБм), текущие аварии (LOS/LOF/Yellow), задержку/асимметрию и статус дублирования P2.</w:t>
      </w:r>
    </w:p>
    <w:p>
      <w:pPr>
        <w:pStyle w:val="Normal"/>
        <w:rPr>
          <w:lang w:val="ru-RU"/>
        </w:rPr>
      </w:pPr>
      <w:r>
        <w:rPr>
          <w:lang w:val="ru-RU"/>
        </w:rPr>
        <w:t>8.1.2. Модуль поддерживает дистанционные команды РМО: настройка значения $N$, выбор режима тактирования, включение режима дублирования P2, управление оптическими петлями и запуск PRBS-тестирования.</w:t>
      </w:r>
    </w:p>
    <w:sectPr>
      <w:footerReference w:type="default" r:id="rId2"/>
      <w:footerReference w:type="first" r:id="rId3"/>
      <w:type w:val="nextPage"/>
      <w:pgSz w:w="12240" w:h="15840"/>
      <w:pgMar w:left="1440" w:right="1440" w:gutter="0" w:header="0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DejaVu Sans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64" w:before="0" w:after="0"/>
      <w:ind w:firstLine="720"/>
      <w:jc w:val="both"/>
    </w:pPr>
    <w:rPr>
      <w:rFonts w:ascii="Times New Roman" w:hAnsi="Times New Roman" w:eastAsia="DejaVu Sans" w:cs="DejaVu Sans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qFormat/>
    <w:pPr>
      <w:keepLines/>
      <w:numPr>
        <w:ilvl w:val="0"/>
        <w:numId w:val="0"/>
      </w:numPr>
      <w:spacing w:before="320" w:after="160"/>
      <w:ind w:firstLine="720"/>
      <w:outlineLvl w:val="0"/>
    </w:pPr>
    <w:rPr>
      <w:rFonts w:ascii="Calibri" w:hAnsi="Calibri" w:eastAsia="DejaVu Sans" w:cs="DejaVu Sans"/>
      <w:b/>
      <w:bCs/>
      <w:color w:themeColor="dark1" w:val="000000"/>
      <w:sz w:val="32"/>
      <w:szCs w:val="28"/>
    </w:rPr>
  </w:style>
  <w:style w:type="paragraph" w:styleId="Heading2">
    <w:name w:val="heading 2"/>
    <w:basedOn w:val="Normal"/>
    <w:next w:val="Normal"/>
    <w:link w:val="2"/>
    <w:qFormat/>
    <w:pPr>
      <w:keepLines/>
      <w:numPr>
        <w:ilvl w:val="0"/>
        <w:numId w:val="0"/>
      </w:numPr>
      <w:spacing w:before="240" w:after="0"/>
      <w:ind w:firstLine="720"/>
      <w:outlineLvl w:val="1"/>
    </w:pPr>
    <w:rPr>
      <w:rFonts w:ascii="Calibri" w:hAnsi="Calibri" w:eastAsia="DejaVu Sans" w:cs="DejaVu Sans"/>
      <w:b/>
      <w:bCs/>
      <w:color w:themeColor="dark1" w:val="000000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Lines/>
      <w:numPr>
        <w:ilvl w:val="0"/>
        <w:numId w:val="0"/>
      </w:numPr>
      <w:spacing w:before="160" w:after="80"/>
      <w:ind w:firstLine="720"/>
      <w:outlineLvl w:val="2"/>
    </w:pPr>
    <w:rPr>
      <w:rFonts w:ascii="Calibri" w:hAnsi="Calibri" w:eastAsia="DejaVu Sans" w:cs="DejaVu Sans"/>
      <w:b/>
      <w:bCs/>
      <w:color w:val="1F4D7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200" w:after="0"/>
      <w:ind w:firstLine="720"/>
      <w:outlineLvl w:val="3"/>
    </w:pPr>
    <w:rPr>
      <w:rFonts w:ascii="Calibri" w:hAnsi="Calibri" w:eastAsia="DejaVu Sans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200" w:after="0"/>
      <w:ind w:firstLine="720"/>
      <w:outlineLvl w:val="4"/>
    </w:pPr>
    <w:rPr>
      <w:rFonts w:ascii="Calibri" w:hAnsi="Calibri" w:eastAsia="DejaVu Sans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200" w:after="0"/>
      <w:ind w:firstLine="720"/>
      <w:outlineLvl w:val="5"/>
    </w:pPr>
    <w:rPr>
      <w:rFonts w:ascii="Calibri" w:hAnsi="Calibri" w:eastAsia="DejaVu Sans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200" w:after="0"/>
      <w:ind w:firstLine="720"/>
      <w:outlineLvl w:val="6"/>
    </w:pPr>
    <w:rPr>
      <w:rFonts w:ascii="Calibri" w:hAnsi="Calibri" w:eastAsia="DejaVu Sans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200" w:after="0"/>
      <w:ind w:firstLine="720"/>
      <w:outlineLvl w:val="7"/>
    </w:pPr>
    <w:rPr>
      <w:rFonts w:ascii="Calibri" w:hAnsi="Calibri" w:eastAsia="DejaVu Sans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before="200" w:after="0"/>
      <w:ind w:firstLine="720"/>
      <w:outlineLvl w:val="8"/>
    </w:pPr>
    <w:rPr>
      <w:rFonts w:ascii="Calibri" w:hAnsi="Calibri" w:eastAsia="DejaVu Sans" w:cs="DejaVu Sans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Style5">
    <w:name w:val="Верхний колонтитул Знак"/>
    <w:basedOn w:val="DefaultParagraphFont"/>
    <w:qFormat/>
    <w:rPr/>
  </w:style>
  <w:style w:type="character" w:styleId="Style6">
    <w:name w:val="Нижний колонтитул Знак"/>
    <w:basedOn w:val="DefaultParagraphFont"/>
    <w:qFormat/>
    <w:rPr/>
  </w:style>
  <w:style w:type="character" w:styleId="1">
    <w:name w:val="Заголовок 1 Знак"/>
    <w:basedOn w:val="DefaultParagraphFont"/>
    <w:qFormat/>
    <w:rPr>
      <w:rFonts w:ascii="Calibri" w:hAnsi="Calibri" w:eastAsia="DejaVu Sans" w:cs="DejaVu Sans"/>
      <w:b/>
      <w:bCs/>
      <w:color w:themeColor="dark1" w:val="000000"/>
      <w:sz w:val="32"/>
      <w:szCs w:val="28"/>
    </w:rPr>
  </w:style>
  <w:style w:type="character" w:styleId="2">
    <w:name w:val="Заголовок 2 Знак"/>
    <w:basedOn w:val="DefaultParagraphFont"/>
    <w:qFormat/>
    <w:rPr>
      <w:rFonts w:ascii="Calibri" w:hAnsi="Calibri" w:eastAsia="DejaVu Sans" w:cs="DejaVu Sans"/>
      <w:b/>
      <w:bCs/>
      <w:color w:themeColor="dark1" w:val="000000"/>
      <w:sz w:val="26"/>
      <w:szCs w:val="26"/>
    </w:rPr>
  </w:style>
  <w:style w:type="character" w:styleId="3">
    <w:name w:val="Заголовок 3 Знак"/>
    <w:basedOn w:val="DefaultParagraphFont"/>
    <w:qFormat/>
    <w:rPr>
      <w:rFonts w:ascii="Calibri" w:hAnsi="Calibri" w:eastAsia="DejaVu Sans" w:cs="DejaVu Sans"/>
      <w:b/>
      <w:bCs/>
      <w:color w:themeColor="accent1" w:val="4F81BD"/>
    </w:rPr>
  </w:style>
  <w:style w:type="character" w:styleId="Style7">
    <w:name w:val="Заголовок Знак"/>
    <w:basedOn w:val="DefaultParagraphFont"/>
    <w:qFormat/>
    <w:rPr>
      <w:rFonts w:ascii="Calibri" w:hAnsi="Calibri" w:eastAsia="DejaVu Sans" w:cs="DejaVu Sans"/>
      <w:color w:themeColor="dark2" w:themeShade="bf" w:val="17365D"/>
      <w:spacing w:val="5"/>
      <w:kern w:val="2"/>
      <w:sz w:val="52"/>
      <w:szCs w:val="52"/>
    </w:rPr>
  </w:style>
  <w:style w:type="character" w:styleId="Style8">
    <w:name w:val="Подзаголовок Знак"/>
    <w:basedOn w:val="DefaultParagraphFont"/>
    <w:qFormat/>
    <w:rPr>
      <w:rFonts w:ascii="Calibri" w:hAnsi="Calibri" w:eastAsia="DejaVu Sans" w:cs="DejaVu Sans"/>
      <w:i/>
      <w:iCs/>
      <w:color w:themeColor="accent1" w:val="4F81BD"/>
      <w:spacing w:val="15"/>
      <w:sz w:val="24"/>
      <w:szCs w:val="24"/>
    </w:rPr>
  </w:style>
  <w:style w:type="character" w:styleId="Style9">
    <w:name w:val="Основной текст Знак"/>
    <w:basedOn w:val="DefaultParagraphFont"/>
    <w:qFormat/>
    <w:rPr/>
  </w:style>
  <w:style w:type="character" w:styleId="21">
    <w:name w:val="Основной текст 2 Знак"/>
    <w:basedOn w:val="DefaultParagraphFont"/>
    <w:link w:val="BodyText2"/>
    <w:qFormat/>
    <w:rPr/>
  </w:style>
  <w:style w:type="character" w:styleId="31">
    <w:name w:val="Основной текст 3 Знак"/>
    <w:basedOn w:val="DefaultParagraphFont"/>
    <w:link w:val="BodyText3"/>
    <w:qFormat/>
    <w:rPr>
      <w:sz w:val="16"/>
      <w:szCs w:val="16"/>
    </w:rPr>
  </w:style>
  <w:style w:type="character" w:styleId="Style10">
    <w:name w:val="Текст макроса Знак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22">
    <w:name w:val="Цитата 2 Знак"/>
    <w:basedOn w:val="DefaultParagraphFont"/>
    <w:link w:val="Quote"/>
    <w:qFormat/>
    <w:rPr>
      <w:i/>
      <w:iCs/>
      <w:color w:themeColor="dark1" w:val="000000"/>
    </w:rPr>
  </w:style>
  <w:style w:type="character" w:styleId="4">
    <w:name w:val="Заголовок 4 Знак"/>
    <w:basedOn w:val="DefaultParagraphFont"/>
    <w:qFormat/>
    <w:rPr>
      <w:rFonts w:ascii="Calibri" w:hAnsi="Calibri" w:eastAsia="DejaVu Sans" w:cs="DejaVu Sans"/>
      <w:b/>
      <w:bCs/>
      <w:i/>
      <w:iCs/>
      <w:color w:themeColor="accent1" w:val="4F81BD"/>
    </w:rPr>
  </w:style>
  <w:style w:type="character" w:styleId="5">
    <w:name w:val="Заголовок 5 Знак"/>
    <w:basedOn w:val="DefaultParagraphFont"/>
    <w:qFormat/>
    <w:rPr>
      <w:rFonts w:ascii="Calibri" w:hAnsi="Calibri" w:eastAsia="DejaVu Sans" w:cs="DejaVu Sans"/>
      <w:color w:themeColor="accent1" w:themeShade="7f" w:val="243F60"/>
    </w:rPr>
  </w:style>
  <w:style w:type="character" w:styleId="6">
    <w:name w:val="Заголовок 6 Знак"/>
    <w:basedOn w:val="DefaultParagraphFont"/>
    <w:qFormat/>
    <w:rPr>
      <w:rFonts w:ascii="Calibri" w:hAnsi="Calibri" w:eastAsia="DejaVu Sans" w:cs="DejaVu Sans"/>
      <w:i/>
      <w:iCs/>
      <w:color w:themeColor="accent1" w:themeShade="7f" w:val="243F60"/>
    </w:rPr>
  </w:style>
  <w:style w:type="character" w:styleId="7">
    <w:name w:val="Заголовок 7 Знак"/>
    <w:basedOn w:val="DefaultParagraphFont"/>
    <w:qFormat/>
    <w:rPr>
      <w:rFonts w:ascii="Calibri" w:hAnsi="Calibri" w:eastAsia="DejaVu Sans" w:cs="DejaVu Sans"/>
      <w:i/>
      <w:iCs/>
      <w:color w:themeColor="dark1" w:themeTint="bf" w:val="404040"/>
    </w:rPr>
  </w:style>
  <w:style w:type="character" w:styleId="8">
    <w:name w:val="Заголовок 8 Знак"/>
    <w:basedOn w:val="DefaultParagraphFont"/>
    <w:qFormat/>
    <w:rPr>
      <w:rFonts w:ascii="Calibri" w:hAnsi="Calibri" w:eastAsia="DejaVu Sans" w:cs="DejaVu Sans"/>
      <w:color w:themeColor="accent1" w:val="4F81BD"/>
      <w:sz w:val="20"/>
      <w:szCs w:val="20"/>
    </w:rPr>
  </w:style>
  <w:style w:type="character" w:styleId="9">
    <w:name w:val="Заголовок 9 Знак"/>
    <w:basedOn w:val="DefaultParagraphFont"/>
    <w:qFormat/>
    <w:rPr>
      <w:rFonts w:ascii="Calibri" w:hAnsi="Calibri" w:eastAsia="DejaVu Sans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1">
    <w:name w:val="Выделенная цитата Знак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Style9"/>
    <w:pPr/>
    <w:rPr/>
  </w:style>
  <w:style w:type="paragraph" w:styleId="List">
    <w:name w:val="List"/>
    <w:basedOn w:val="Normal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/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DejaVu Sans" w:cs="DejaVu Sans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DejaVu Sans" w:cs="DejaVu Sans"/>
      <w:b/>
      <w:color w:val="000000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tyle8"/>
    <w:qFormat/>
    <w:pPr>
      <w:ind w:firstLine="720"/>
    </w:pPr>
    <w:rPr>
      <w:rFonts w:ascii="Calibri" w:hAnsi="Calibri" w:eastAsia="DejaVu Sans" w:cs="DejaVu Sans"/>
      <w:i/>
      <w:iCs/>
      <w:color w:val="1F4D78"/>
      <w:spacing w:val="15"/>
      <w:sz w:val="26"/>
      <w:szCs w:val="24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21"/>
    <w:qFormat/>
    <w:pPr>
      <w:spacing w:lineRule="auto" w:line="480"/>
    </w:pPr>
    <w:rPr/>
  </w:style>
  <w:style w:type="paragraph" w:styleId="BodyText3">
    <w:name w:val="Body Text 3"/>
    <w:basedOn w:val="Normal"/>
    <w:link w:val="31"/>
    <w:qFormat/>
    <w:pPr/>
    <w:rPr>
      <w:sz w:val="16"/>
      <w:szCs w:val="16"/>
    </w:rPr>
  </w:style>
  <w:style w:type="paragraph" w:styleId="List2">
    <w:name w:val="List 2"/>
    <w:basedOn w:val="Normal"/>
    <w:qFormat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pPr>
      <w:spacing w:before="0" w:after="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">
    <w:name w:val="List Number"/>
    <w:basedOn w:val="Normal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2">
    <w:name w:val="List Number 2"/>
    <w:basedOn w:val="Normal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3">
    <w:name w:val="List Number 3"/>
    <w:basedOn w:val="Normal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Continue">
    <w:name w:val="List Continue"/>
    <w:basedOn w:val="Normal"/>
    <w:pPr>
      <w:spacing w:before="0" w:after="0"/>
      <w:ind w:left="360"/>
      <w:contextualSpacing/>
    </w:pPr>
    <w:rPr/>
  </w:style>
  <w:style w:type="paragraph" w:styleId="ListContinue2">
    <w:name w:val="List Continue 2"/>
    <w:basedOn w:val="Normal"/>
    <w:pPr>
      <w:spacing w:before="0" w:after="0"/>
      <w:ind w:left="720"/>
      <w:contextualSpacing/>
    </w:pPr>
    <w:rPr/>
  </w:style>
  <w:style w:type="paragraph" w:styleId="ListContinue3">
    <w:name w:val="List Continue 3"/>
    <w:basedOn w:val="Normal"/>
    <w:pPr>
      <w:spacing w:before="0" w:after="0"/>
      <w:ind w:left="1080"/>
      <w:contextualSpacing/>
    </w:pPr>
    <w:rPr/>
  </w:style>
  <w:style w:type="paragraph" w:styleId="MacroText">
    <w:name w:val="macro"/>
    <w:link w:val="Style10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DejaVu Sans" w:cs="DejaVu Sans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Style11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/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user4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Application>LibreOffice/25.2.3.2$Linux_X86_64 LibreOffice_project/520$Build-2</Application>
  <AppVersion>15.0000</AppVersion>
  <Pages>10</Pages>
  <Words>1878</Words>
  <Characters>14296</Characters>
  <CharactersWithSpaces>16054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2026-07-21T06:07:00Z</dcterms:created>
  <dc:creator>Проектная рабочая группа</dc:creator>
  <dc:description>Исходные документы не изменены</dc:description>
  <dc:language>ru-RU</dc:language>
  <cp:lastModifiedBy/>
  <dcterms:modified xsi:type="dcterms:W3CDTF">2026-10-03T17:20:20Z</dcterms:modified>
  <cp:revision>11</cp:revision>
  <dc:subject>Рабочий проект ТЗ на ОКР</dc:subject>
  <dc:title>Техническое задание на изделие ДММП ATCA 6U/6-slot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